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16C7" w14:textId="0FD86377" w:rsidR="00825376" w:rsidRDefault="00837699" w:rsidP="003E0A25">
      <w:pPr>
        <w:shd w:val="clear" w:color="auto" w:fill="B4C6E7" w:themeFill="accent1" w:themeFillTint="66"/>
        <w:rPr>
          <w:b/>
          <w:bCs/>
        </w:rPr>
      </w:pPr>
      <w:r>
        <w:rPr>
          <w:b/>
          <w:bCs/>
        </w:rPr>
        <w:t>RELAZIONE</w:t>
      </w:r>
      <w:r w:rsidR="001F2B93" w:rsidRPr="001F2B93">
        <w:rPr>
          <w:b/>
          <w:bCs/>
        </w:rPr>
        <w:t xml:space="preserve"> VALUTAZIONE DEGLI ADEMPIMENTI DEI REGOLAMENTI POPS, REACH E CLP</w:t>
      </w:r>
    </w:p>
    <w:p w14:paraId="4F750FCF" w14:textId="4596D2EA" w:rsidR="001F2B93" w:rsidRPr="00B952B4" w:rsidRDefault="00ED1686">
      <w:pPr>
        <w:rPr>
          <w:i/>
          <w:iCs/>
          <w:color w:val="4472C4" w:themeColor="accent1"/>
        </w:rPr>
      </w:pPr>
      <w:r w:rsidRPr="00B952B4">
        <w:rPr>
          <w:i/>
          <w:iCs/>
          <w:color w:val="4472C4" w:themeColor="accent1"/>
        </w:rPr>
        <w:t>Denominazione</w:t>
      </w:r>
      <w:r w:rsidR="0011524C">
        <w:rPr>
          <w:i/>
          <w:iCs/>
          <w:color w:val="4472C4" w:themeColor="accent1"/>
        </w:rPr>
        <w:t>/identificazione</w:t>
      </w:r>
      <w:r w:rsidRPr="00B952B4">
        <w:rPr>
          <w:i/>
          <w:iCs/>
          <w:color w:val="4472C4" w:themeColor="accent1"/>
        </w:rPr>
        <w:t xml:space="preserve"> impianto</w:t>
      </w:r>
      <w:r w:rsidR="0011524C">
        <w:rPr>
          <w:i/>
          <w:iCs/>
          <w:color w:val="4472C4" w:themeColor="accent1"/>
        </w:rPr>
        <w:t xml:space="preserve"> di trattamento</w:t>
      </w:r>
    </w:p>
    <w:p w14:paraId="12A4F0FF" w14:textId="5B267FC1" w:rsidR="00C73EE3" w:rsidRPr="00DB61F0" w:rsidRDefault="00C73EE3">
      <w:pPr>
        <w:rPr>
          <w:b/>
          <w:bCs/>
          <w:u w:val="single"/>
        </w:rPr>
      </w:pPr>
      <w:r w:rsidRPr="00DB61F0">
        <w:rPr>
          <w:b/>
          <w:bCs/>
          <w:u w:val="single"/>
        </w:rPr>
        <w:t>Tipologia di EOW</w:t>
      </w:r>
      <w:r w:rsidR="0011524C">
        <w:rPr>
          <w:b/>
          <w:bCs/>
          <w:u w:val="single"/>
        </w:rPr>
        <w:t>:</w:t>
      </w:r>
      <w:r w:rsidR="0011524C" w:rsidRPr="0011524C">
        <w:rPr>
          <w:b/>
          <w:bCs/>
        </w:rPr>
        <w:t xml:space="preserve"> </w:t>
      </w:r>
      <w:r w:rsidR="0011524C" w:rsidRPr="0011524C">
        <w:rPr>
          <w:i/>
          <w:iCs/>
          <w:color w:val="4472C4" w:themeColor="accent1"/>
        </w:rPr>
        <w:t>ad esempio carta, cartone,</w:t>
      </w:r>
      <w:r w:rsidR="0011524C">
        <w:rPr>
          <w:i/>
          <w:iCs/>
          <w:color w:val="4472C4" w:themeColor="accent1"/>
        </w:rPr>
        <w:t xml:space="preserve"> </w:t>
      </w:r>
      <w:proofErr w:type="gramStart"/>
      <w:r w:rsidR="0011524C">
        <w:rPr>
          <w:i/>
          <w:iCs/>
          <w:color w:val="4472C4" w:themeColor="accent1"/>
        </w:rPr>
        <w:t>ecc..</w:t>
      </w:r>
      <w:proofErr w:type="gramEnd"/>
      <w:r w:rsidR="0011524C">
        <w:rPr>
          <w:i/>
          <w:iCs/>
          <w:color w:val="4472C4" w:themeColor="accent1"/>
        </w:rPr>
        <w:t xml:space="preserve"> (tipologia merceologica)</w:t>
      </w:r>
    </w:p>
    <w:p w14:paraId="447004B8" w14:textId="125A3AD6" w:rsidR="00C73EE3" w:rsidRDefault="00ED1686">
      <w:pPr>
        <w:rPr>
          <w:b/>
          <w:bCs/>
        </w:rPr>
      </w:pPr>
      <w:r>
        <w:rPr>
          <w:b/>
          <w:bCs/>
        </w:rPr>
        <w:t>EOW</w:t>
      </w:r>
      <w:r w:rsidR="00C73EE3">
        <w:rPr>
          <w:b/>
          <w:bCs/>
        </w:rPr>
        <w:t xml:space="preserve"> conformi alle norme</w:t>
      </w:r>
      <w:r w:rsidR="00CE7541">
        <w:rPr>
          <w:b/>
          <w:bCs/>
        </w:rPr>
        <w:t>:</w:t>
      </w:r>
    </w:p>
    <w:p w14:paraId="1FED9398" w14:textId="1293E788" w:rsidR="00CE7541" w:rsidRPr="00B952B4" w:rsidRDefault="00ED1686">
      <w:pPr>
        <w:rPr>
          <w:i/>
          <w:iCs/>
          <w:color w:val="4472C4" w:themeColor="accent1"/>
        </w:rPr>
      </w:pPr>
      <w:r w:rsidRPr="00B952B4">
        <w:rPr>
          <w:i/>
          <w:iCs/>
          <w:color w:val="4472C4" w:themeColor="accent1"/>
        </w:rPr>
        <w:t>Riportare le norme UNI, EN, ISO, ecc. di riferimento per l’uso specifico</w:t>
      </w:r>
    </w:p>
    <w:sdt>
      <w:sdtPr>
        <w:rPr>
          <w:rFonts w:asciiTheme="minorHAnsi" w:eastAsiaTheme="minorHAnsi" w:hAnsiTheme="minorHAnsi" w:cstheme="minorBidi"/>
          <w:color w:val="auto"/>
          <w:sz w:val="22"/>
          <w:szCs w:val="22"/>
          <w:lang w:eastAsia="en-US"/>
        </w:rPr>
        <w:id w:val="-435058100"/>
        <w:docPartObj>
          <w:docPartGallery w:val="Table of Contents"/>
          <w:docPartUnique/>
        </w:docPartObj>
      </w:sdtPr>
      <w:sdtEndPr>
        <w:rPr>
          <w:b/>
          <w:bCs/>
          <w:sz w:val="20"/>
          <w:szCs w:val="20"/>
        </w:rPr>
      </w:sdtEndPr>
      <w:sdtContent>
        <w:p w14:paraId="11C56F84" w14:textId="7486D0E8" w:rsidR="001F134A" w:rsidRDefault="001F134A">
          <w:pPr>
            <w:pStyle w:val="Titolosommario"/>
          </w:pPr>
          <w:r>
            <w:t>Sommario</w:t>
          </w:r>
        </w:p>
        <w:p w14:paraId="7770CF68" w14:textId="5BC4027C" w:rsidR="00C42CD1" w:rsidRDefault="001F134A">
          <w:pPr>
            <w:pStyle w:val="Sommario3"/>
            <w:rPr>
              <w:rFonts w:eastAsiaTheme="minorEastAsia"/>
              <w:noProof/>
              <w:lang w:eastAsia="it-IT"/>
            </w:rPr>
          </w:pPr>
          <w:r w:rsidRPr="085B2EC0">
            <w:rPr>
              <w:sz w:val="20"/>
              <w:szCs w:val="20"/>
            </w:rPr>
            <w:fldChar w:fldCharType="begin"/>
          </w:r>
          <w:r w:rsidRPr="0011524C">
            <w:rPr>
              <w:sz w:val="20"/>
              <w:szCs w:val="20"/>
            </w:rPr>
            <w:instrText xml:space="preserve"> TOC \o "1-3" \h \z \u </w:instrText>
          </w:r>
          <w:r w:rsidRPr="085B2EC0">
            <w:rPr>
              <w:sz w:val="20"/>
              <w:szCs w:val="20"/>
            </w:rPr>
            <w:fldChar w:fldCharType="separate"/>
          </w:r>
          <w:hyperlink w:anchor="_Toc126664557" w:history="1">
            <w:r w:rsidR="00C42CD1" w:rsidRPr="0046335B">
              <w:rPr>
                <w:rStyle w:val="Collegamentoipertestuale"/>
                <w:rFonts w:ascii="Calibri" w:eastAsia="Times New Roman" w:hAnsi="Calibri" w:cs="Times New Roman"/>
                <w:b/>
                <w:iCs/>
                <w:noProof/>
                <w:snapToGrid w:val="0"/>
                <w:lang w:eastAsia="it-IT"/>
              </w:rPr>
              <w:t>Premessa</w:t>
            </w:r>
            <w:r w:rsidR="00C42CD1">
              <w:rPr>
                <w:noProof/>
                <w:webHidden/>
              </w:rPr>
              <w:tab/>
            </w:r>
            <w:r w:rsidR="00C42CD1">
              <w:rPr>
                <w:noProof/>
                <w:webHidden/>
              </w:rPr>
              <w:fldChar w:fldCharType="begin"/>
            </w:r>
            <w:r w:rsidR="00C42CD1">
              <w:rPr>
                <w:noProof/>
                <w:webHidden/>
              </w:rPr>
              <w:instrText xml:space="preserve"> PAGEREF _Toc126664557 \h </w:instrText>
            </w:r>
            <w:r w:rsidR="00C42CD1">
              <w:rPr>
                <w:noProof/>
                <w:webHidden/>
              </w:rPr>
            </w:r>
            <w:r w:rsidR="00C42CD1">
              <w:rPr>
                <w:noProof/>
                <w:webHidden/>
              </w:rPr>
              <w:fldChar w:fldCharType="separate"/>
            </w:r>
            <w:r w:rsidR="00C42CD1">
              <w:rPr>
                <w:noProof/>
                <w:webHidden/>
              </w:rPr>
              <w:t>3</w:t>
            </w:r>
            <w:r w:rsidR="00C42CD1">
              <w:rPr>
                <w:noProof/>
                <w:webHidden/>
              </w:rPr>
              <w:fldChar w:fldCharType="end"/>
            </w:r>
          </w:hyperlink>
        </w:p>
        <w:p w14:paraId="3DD1B7C0" w14:textId="5FDB5FD7" w:rsidR="00C42CD1" w:rsidRDefault="00C42CD1">
          <w:pPr>
            <w:pStyle w:val="Sommario3"/>
            <w:rPr>
              <w:rFonts w:eastAsiaTheme="minorEastAsia"/>
              <w:noProof/>
              <w:lang w:eastAsia="it-IT"/>
            </w:rPr>
          </w:pPr>
          <w:hyperlink w:anchor="_Toc126664558" w:history="1">
            <w:r w:rsidRPr="0046335B">
              <w:rPr>
                <w:rStyle w:val="Collegamentoipertestuale"/>
                <w:rFonts w:ascii="Calibri" w:eastAsia="Times New Roman" w:hAnsi="Calibri" w:cs="Times New Roman"/>
                <w:b/>
                <w:iCs/>
                <w:caps/>
                <w:noProof/>
                <w:snapToGrid w:val="0"/>
                <w:lang w:eastAsia="it-IT"/>
              </w:rPr>
              <w:t>Valutazione POPs</w:t>
            </w:r>
            <w:r>
              <w:rPr>
                <w:noProof/>
                <w:webHidden/>
              </w:rPr>
              <w:tab/>
            </w:r>
            <w:r>
              <w:rPr>
                <w:noProof/>
                <w:webHidden/>
              </w:rPr>
              <w:fldChar w:fldCharType="begin"/>
            </w:r>
            <w:r>
              <w:rPr>
                <w:noProof/>
                <w:webHidden/>
              </w:rPr>
              <w:instrText xml:space="preserve"> PAGEREF _Toc126664558 \h </w:instrText>
            </w:r>
            <w:r>
              <w:rPr>
                <w:noProof/>
                <w:webHidden/>
              </w:rPr>
            </w:r>
            <w:r>
              <w:rPr>
                <w:noProof/>
                <w:webHidden/>
              </w:rPr>
              <w:fldChar w:fldCharType="separate"/>
            </w:r>
            <w:r>
              <w:rPr>
                <w:noProof/>
                <w:webHidden/>
              </w:rPr>
              <w:t>3</w:t>
            </w:r>
            <w:r>
              <w:rPr>
                <w:noProof/>
                <w:webHidden/>
              </w:rPr>
              <w:fldChar w:fldCharType="end"/>
            </w:r>
          </w:hyperlink>
        </w:p>
        <w:p w14:paraId="31831B0A" w14:textId="5986B4A8" w:rsidR="00C42CD1" w:rsidRDefault="00C42CD1">
          <w:pPr>
            <w:pStyle w:val="Sommario3"/>
            <w:rPr>
              <w:rFonts w:eastAsiaTheme="minorEastAsia"/>
              <w:noProof/>
              <w:lang w:eastAsia="it-IT"/>
            </w:rPr>
          </w:pPr>
          <w:hyperlink w:anchor="_Toc126664559" w:history="1">
            <w:r w:rsidRPr="0046335B">
              <w:rPr>
                <w:rStyle w:val="Collegamentoipertestuale"/>
                <w:rFonts w:ascii="Calibri" w:eastAsia="Times New Roman" w:hAnsi="Calibri" w:cs="Times New Roman"/>
                <w:b/>
                <w:iCs/>
                <w:noProof/>
                <w:snapToGrid w:val="0"/>
                <w:lang w:eastAsia="it-IT"/>
              </w:rPr>
              <w:t>1-Sono presenti nei rifiuti (sostanze, miscele o articoli) di partenza per la produzione dell’EOW sostanze incluse nell’allegato IV del Regolamento 1021/2019/UE e s.m.i.?</w:t>
            </w:r>
            <w:r>
              <w:rPr>
                <w:noProof/>
                <w:webHidden/>
              </w:rPr>
              <w:tab/>
            </w:r>
            <w:r>
              <w:rPr>
                <w:noProof/>
                <w:webHidden/>
              </w:rPr>
              <w:fldChar w:fldCharType="begin"/>
            </w:r>
            <w:r>
              <w:rPr>
                <w:noProof/>
                <w:webHidden/>
              </w:rPr>
              <w:instrText xml:space="preserve"> PAGEREF _Toc126664559 \h </w:instrText>
            </w:r>
            <w:r>
              <w:rPr>
                <w:noProof/>
                <w:webHidden/>
              </w:rPr>
            </w:r>
            <w:r>
              <w:rPr>
                <w:noProof/>
                <w:webHidden/>
              </w:rPr>
              <w:fldChar w:fldCharType="separate"/>
            </w:r>
            <w:r>
              <w:rPr>
                <w:noProof/>
                <w:webHidden/>
              </w:rPr>
              <w:t>3</w:t>
            </w:r>
            <w:r>
              <w:rPr>
                <w:noProof/>
                <w:webHidden/>
              </w:rPr>
              <w:fldChar w:fldCharType="end"/>
            </w:r>
          </w:hyperlink>
        </w:p>
        <w:p w14:paraId="0DB123C1" w14:textId="0EEEA5B6" w:rsidR="00C42CD1" w:rsidRDefault="00C42CD1">
          <w:pPr>
            <w:pStyle w:val="Sommario3"/>
            <w:rPr>
              <w:rFonts w:eastAsiaTheme="minorEastAsia"/>
              <w:noProof/>
              <w:lang w:eastAsia="it-IT"/>
            </w:rPr>
          </w:pPr>
          <w:hyperlink w:anchor="_Toc126664560" w:history="1">
            <w:r w:rsidRPr="0046335B">
              <w:rPr>
                <w:rStyle w:val="Collegamentoipertestuale"/>
                <w:rFonts w:ascii="Calibri" w:eastAsia="Times New Roman" w:hAnsi="Calibri" w:cs="Times New Roman"/>
                <w:b/>
                <w:iCs/>
                <w:noProof/>
                <w:snapToGrid w:val="0"/>
                <w:lang w:eastAsia="it-IT"/>
              </w:rPr>
              <w:t>2-Le quantità di sostanze POPs identificate nei rifiuti di partenza, che daranno origine all’EOW, sono inferiori ai limiti previsti dall’allegato IV?</w:t>
            </w:r>
            <w:r>
              <w:rPr>
                <w:noProof/>
                <w:webHidden/>
              </w:rPr>
              <w:tab/>
            </w:r>
            <w:r>
              <w:rPr>
                <w:noProof/>
                <w:webHidden/>
              </w:rPr>
              <w:fldChar w:fldCharType="begin"/>
            </w:r>
            <w:r>
              <w:rPr>
                <w:noProof/>
                <w:webHidden/>
              </w:rPr>
              <w:instrText xml:space="preserve"> PAGEREF _Toc126664560 \h </w:instrText>
            </w:r>
            <w:r>
              <w:rPr>
                <w:noProof/>
                <w:webHidden/>
              </w:rPr>
            </w:r>
            <w:r>
              <w:rPr>
                <w:noProof/>
                <w:webHidden/>
              </w:rPr>
              <w:fldChar w:fldCharType="separate"/>
            </w:r>
            <w:r>
              <w:rPr>
                <w:noProof/>
                <w:webHidden/>
              </w:rPr>
              <w:t>7</w:t>
            </w:r>
            <w:r>
              <w:rPr>
                <w:noProof/>
                <w:webHidden/>
              </w:rPr>
              <w:fldChar w:fldCharType="end"/>
            </w:r>
          </w:hyperlink>
        </w:p>
        <w:p w14:paraId="5FB563C6" w14:textId="3FDC08FE" w:rsidR="00C42CD1" w:rsidRDefault="00C42CD1">
          <w:pPr>
            <w:pStyle w:val="Sommario3"/>
            <w:rPr>
              <w:rFonts w:eastAsiaTheme="minorEastAsia"/>
              <w:noProof/>
              <w:lang w:eastAsia="it-IT"/>
            </w:rPr>
          </w:pPr>
          <w:hyperlink w:anchor="_Toc126664561" w:history="1">
            <w:r w:rsidRPr="0046335B">
              <w:rPr>
                <w:rStyle w:val="Collegamentoipertestuale"/>
                <w:rFonts w:ascii="Calibri" w:eastAsia="Times New Roman" w:hAnsi="Calibri" w:cs="Times New Roman"/>
                <w:b/>
                <w:iCs/>
                <w:noProof/>
                <w:snapToGrid w:val="0"/>
                <w:lang w:eastAsia="it-IT"/>
              </w:rPr>
              <w:t>3-Nel EOW finale (sostanze, miscela o articolo) sono presenti delle tracce?</w:t>
            </w:r>
            <w:r>
              <w:rPr>
                <w:noProof/>
                <w:webHidden/>
              </w:rPr>
              <w:tab/>
            </w:r>
            <w:r>
              <w:rPr>
                <w:noProof/>
                <w:webHidden/>
              </w:rPr>
              <w:fldChar w:fldCharType="begin"/>
            </w:r>
            <w:r>
              <w:rPr>
                <w:noProof/>
                <w:webHidden/>
              </w:rPr>
              <w:instrText xml:space="preserve"> PAGEREF _Toc126664561 \h </w:instrText>
            </w:r>
            <w:r>
              <w:rPr>
                <w:noProof/>
                <w:webHidden/>
              </w:rPr>
            </w:r>
            <w:r>
              <w:rPr>
                <w:noProof/>
                <w:webHidden/>
              </w:rPr>
              <w:fldChar w:fldCharType="separate"/>
            </w:r>
            <w:r>
              <w:rPr>
                <w:noProof/>
                <w:webHidden/>
              </w:rPr>
              <w:t>7</w:t>
            </w:r>
            <w:r>
              <w:rPr>
                <w:noProof/>
                <w:webHidden/>
              </w:rPr>
              <w:fldChar w:fldCharType="end"/>
            </w:r>
          </w:hyperlink>
        </w:p>
        <w:p w14:paraId="4CC199C4" w14:textId="59A0886A" w:rsidR="00C42CD1" w:rsidRDefault="00C42CD1">
          <w:pPr>
            <w:pStyle w:val="Sommario3"/>
            <w:rPr>
              <w:rFonts w:eastAsiaTheme="minorEastAsia"/>
              <w:noProof/>
              <w:lang w:eastAsia="it-IT"/>
            </w:rPr>
          </w:pPr>
          <w:hyperlink w:anchor="_Toc126664562" w:history="1">
            <w:r w:rsidRPr="0046335B">
              <w:rPr>
                <w:rStyle w:val="Collegamentoipertestuale"/>
                <w:rFonts w:ascii="Calibri" w:eastAsia="Times New Roman" w:hAnsi="Calibri" w:cs="Times New Roman"/>
                <w:b/>
                <w:iCs/>
                <w:caps/>
                <w:noProof/>
                <w:snapToGrid w:val="0"/>
                <w:lang w:eastAsia="it-IT"/>
              </w:rPr>
              <w:t>Conclusione valutazione POPs</w:t>
            </w:r>
            <w:r>
              <w:rPr>
                <w:noProof/>
                <w:webHidden/>
              </w:rPr>
              <w:tab/>
            </w:r>
            <w:r>
              <w:rPr>
                <w:noProof/>
                <w:webHidden/>
              </w:rPr>
              <w:fldChar w:fldCharType="begin"/>
            </w:r>
            <w:r>
              <w:rPr>
                <w:noProof/>
                <w:webHidden/>
              </w:rPr>
              <w:instrText xml:space="preserve"> PAGEREF _Toc126664562 \h </w:instrText>
            </w:r>
            <w:r>
              <w:rPr>
                <w:noProof/>
                <w:webHidden/>
              </w:rPr>
            </w:r>
            <w:r>
              <w:rPr>
                <w:noProof/>
                <w:webHidden/>
              </w:rPr>
              <w:fldChar w:fldCharType="separate"/>
            </w:r>
            <w:r>
              <w:rPr>
                <w:noProof/>
                <w:webHidden/>
              </w:rPr>
              <w:t>7</w:t>
            </w:r>
            <w:r>
              <w:rPr>
                <w:noProof/>
                <w:webHidden/>
              </w:rPr>
              <w:fldChar w:fldCharType="end"/>
            </w:r>
          </w:hyperlink>
        </w:p>
        <w:p w14:paraId="3A34D131" w14:textId="3A906691" w:rsidR="00C42CD1" w:rsidRDefault="00C42CD1">
          <w:pPr>
            <w:pStyle w:val="Sommario3"/>
            <w:rPr>
              <w:rFonts w:eastAsiaTheme="minorEastAsia"/>
              <w:noProof/>
              <w:lang w:eastAsia="it-IT"/>
            </w:rPr>
          </w:pPr>
          <w:hyperlink w:anchor="_Toc126664563" w:history="1">
            <w:r w:rsidRPr="0046335B">
              <w:rPr>
                <w:rStyle w:val="Collegamentoipertestuale"/>
                <w:rFonts w:ascii="Calibri" w:eastAsia="Times New Roman" w:hAnsi="Calibri" w:cs="Times New Roman"/>
                <w:b/>
                <w:iCs/>
                <w:caps/>
                <w:noProof/>
                <w:snapToGrid w:val="0"/>
                <w:lang w:eastAsia="it-IT"/>
              </w:rPr>
              <w:t>Valutazioni adempimenti REACH e CLP</w:t>
            </w:r>
            <w:r>
              <w:rPr>
                <w:noProof/>
                <w:webHidden/>
              </w:rPr>
              <w:tab/>
            </w:r>
            <w:r>
              <w:rPr>
                <w:noProof/>
                <w:webHidden/>
              </w:rPr>
              <w:fldChar w:fldCharType="begin"/>
            </w:r>
            <w:r>
              <w:rPr>
                <w:noProof/>
                <w:webHidden/>
              </w:rPr>
              <w:instrText xml:space="preserve"> PAGEREF _Toc126664563 \h </w:instrText>
            </w:r>
            <w:r>
              <w:rPr>
                <w:noProof/>
                <w:webHidden/>
              </w:rPr>
            </w:r>
            <w:r>
              <w:rPr>
                <w:noProof/>
                <w:webHidden/>
              </w:rPr>
              <w:fldChar w:fldCharType="separate"/>
            </w:r>
            <w:r>
              <w:rPr>
                <w:noProof/>
                <w:webHidden/>
              </w:rPr>
              <w:t>7</w:t>
            </w:r>
            <w:r>
              <w:rPr>
                <w:noProof/>
                <w:webHidden/>
              </w:rPr>
              <w:fldChar w:fldCharType="end"/>
            </w:r>
          </w:hyperlink>
        </w:p>
        <w:p w14:paraId="174A083D" w14:textId="2A6432F8" w:rsidR="00C42CD1" w:rsidRDefault="00C42CD1">
          <w:pPr>
            <w:pStyle w:val="Sommario3"/>
            <w:rPr>
              <w:rFonts w:eastAsiaTheme="minorEastAsia"/>
              <w:noProof/>
              <w:lang w:eastAsia="it-IT"/>
            </w:rPr>
          </w:pPr>
          <w:hyperlink w:anchor="_Toc126664564" w:history="1">
            <w:r w:rsidRPr="0046335B">
              <w:rPr>
                <w:rStyle w:val="Collegamentoipertestuale"/>
                <w:rFonts w:ascii="Calibri" w:eastAsia="Times New Roman" w:hAnsi="Calibri" w:cs="Times New Roman"/>
                <w:b/>
                <w:iCs/>
                <w:noProof/>
                <w:snapToGrid w:val="0"/>
                <w:lang w:eastAsia="it-IT"/>
              </w:rPr>
              <w:t>Premessa</w:t>
            </w:r>
            <w:r>
              <w:rPr>
                <w:noProof/>
                <w:webHidden/>
              </w:rPr>
              <w:tab/>
            </w:r>
            <w:r>
              <w:rPr>
                <w:noProof/>
                <w:webHidden/>
              </w:rPr>
              <w:fldChar w:fldCharType="begin"/>
            </w:r>
            <w:r>
              <w:rPr>
                <w:noProof/>
                <w:webHidden/>
              </w:rPr>
              <w:instrText xml:space="preserve"> PAGEREF _Toc126664564 \h </w:instrText>
            </w:r>
            <w:r>
              <w:rPr>
                <w:noProof/>
                <w:webHidden/>
              </w:rPr>
            </w:r>
            <w:r>
              <w:rPr>
                <w:noProof/>
                <w:webHidden/>
              </w:rPr>
              <w:fldChar w:fldCharType="separate"/>
            </w:r>
            <w:r>
              <w:rPr>
                <w:noProof/>
                <w:webHidden/>
              </w:rPr>
              <w:t>7</w:t>
            </w:r>
            <w:r>
              <w:rPr>
                <w:noProof/>
                <w:webHidden/>
              </w:rPr>
              <w:fldChar w:fldCharType="end"/>
            </w:r>
          </w:hyperlink>
        </w:p>
        <w:p w14:paraId="0E2AD1EC" w14:textId="3090EDBB" w:rsidR="00C42CD1" w:rsidRDefault="00C42CD1">
          <w:pPr>
            <w:pStyle w:val="Sommario3"/>
            <w:rPr>
              <w:rFonts w:eastAsiaTheme="minorEastAsia"/>
              <w:noProof/>
              <w:lang w:eastAsia="it-IT"/>
            </w:rPr>
          </w:pPr>
          <w:hyperlink w:anchor="_Toc126664565" w:history="1">
            <w:r w:rsidRPr="0046335B">
              <w:rPr>
                <w:rStyle w:val="Collegamentoipertestuale"/>
                <w:rFonts w:ascii="Calibri" w:eastAsia="Times New Roman" w:hAnsi="Calibri" w:cs="Times New Roman"/>
                <w:b/>
                <w:iCs/>
                <w:noProof/>
                <w:snapToGrid w:val="0"/>
                <w:lang w:eastAsia="it-IT"/>
              </w:rPr>
              <w:t>IDENTITA’</w:t>
            </w:r>
            <w:r>
              <w:rPr>
                <w:noProof/>
                <w:webHidden/>
              </w:rPr>
              <w:tab/>
            </w:r>
            <w:r>
              <w:rPr>
                <w:noProof/>
                <w:webHidden/>
              </w:rPr>
              <w:fldChar w:fldCharType="begin"/>
            </w:r>
            <w:r>
              <w:rPr>
                <w:noProof/>
                <w:webHidden/>
              </w:rPr>
              <w:instrText xml:space="preserve"> PAGEREF _Toc126664565 \h </w:instrText>
            </w:r>
            <w:r>
              <w:rPr>
                <w:noProof/>
                <w:webHidden/>
              </w:rPr>
            </w:r>
            <w:r>
              <w:rPr>
                <w:noProof/>
                <w:webHidden/>
              </w:rPr>
              <w:fldChar w:fldCharType="separate"/>
            </w:r>
            <w:r>
              <w:rPr>
                <w:noProof/>
                <w:webHidden/>
              </w:rPr>
              <w:t>7</w:t>
            </w:r>
            <w:r>
              <w:rPr>
                <w:noProof/>
                <w:webHidden/>
              </w:rPr>
              <w:fldChar w:fldCharType="end"/>
            </w:r>
          </w:hyperlink>
        </w:p>
        <w:p w14:paraId="1BC40255" w14:textId="51ECCD42" w:rsidR="00C42CD1" w:rsidRDefault="00C42CD1">
          <w:pPr>
            <w:pStyle w:val="Sommario3"/>
            <w:rPr>
              <w:rFonts w:eastAsiaTheme="minorEastAsia"/>
              <w:noProof/>
              <w:lang w:eastAsia="it-IT"/>
            </w:rPr>
          </w:pPr>
          <w:hyperlink w:anchor="_Toc126664566" w:history="1">
            <w:r w:rsidRPr="0046335B">
              <w:rPr>
                <w:rStyle w:val="Collegamentoipertestuale"/>
                <w:rFonts w:ascii="Calibri" w:eastAsia="Times New Roman" w:hAnsi="Calibri" w:cs="Times New Roman"/>
                <w:b/>
                <w:iCs/>
                <w:noProof/>
                <w:snapToGrid w:val="0"/>
                <w:lang w:eastAsia="it-IT"/>
              </w:rPr>
              <w:t xml:space="preserve">1- </w:t>
            </w:r>
            <w:r w:rsidRPr="0046335B">
              <w:rPr>
                <w:rStyle w:val="Collegamentoipertestuale"/>
                <w:b/>
                <w:noProof/>
              </w:rPr>
              <w:t>Individuare se il materiale recuperato è una sostanza, una miscela o un articolo</w:t>
            </w:r>
            <w:r>
              <w:rPr>
                <w:noProof/>
                <w:webHidden/>
              </w:rPr>
              <w:tab/>
            </w:r>
            <w:r>
              <w:rPr>
                <w:noProof/>
                <w:webHidden/>
              </w:rPr>
              <w:fldChar w:fldCharType="begin"/>
            </w:r>
            <w:r>
              <w:rPr>
                <w:noProof/>
                <w:webHidden/>
              </w:rPr>
              <w:instrText xml:space="preserve"> PAGEREF _Toc126664566 \h </w:instrText>
            </w:r>
            <w:r>
              <w:rPr>
                <w:noProof/>
                <w:webHidden/>
              </w:rPr>
            </w:r>
            <w:r>
              <w:rPr>
                <w:noProof/>
                <w:webHidden/>
              </w:rPr>
              <w:fldChar w:fldCharType="separate"/>
            </w:r>
            <w:r>
              <w:rPr>
                <w:noProof/>
                <w:webHidden/>
              </w:rPr>
              <w:t>8</w:t>
            </w:r>
            <w:r>
              <w:rPr>
                <w:noProof/>
                <w:webHidden/>
              </w:rPr>
              <w:fldChar w:fldCharType="end"/>
            </w:r>
          </w:hyperlink>
        </w:p>
        <w:p w14:paraId="499A482D" w14:textId="44E50B82" w:rsidR="00C42CD1" w:rsidRDefault="00C42CD1">
          <w:pPr>
            <w:pStyle w:val="Sommario3"/>
            <w:rPr>
              <w:rFonts w:eastAsiaTheme="minorEastAsia"/>
              <w:noProof/>
              <w:lang w:eastAsia="it-IT"/>
            </w:rPr>
          </w:pPr>
          <w:hyperlink w:anchor="_Toc126664567" w:history="1">
            <w:r w:rsidRPr="0046335B">
              <w:rPr>
                <w:rStyle w:val="Collegamentoipertestuale"/>
                <w:rFonts w:ascii="Calibri" w:eastAsia="Times New Roman" w:hAnsi="Calibri" w:cs="Times New Roman"/>
                <w:b/>
                <w:iCs/>
                <w:noProof/>
                <w:snapToGrid w:val="0"/>
                <w:lang w:eastAsia="it-IT"/>
              </w:rPr>
              <w:t>REGISTRAZIONE – VALUTAZIONE DELLA SICUREZZA CHIMICA</w:t>
            </w:r>
            <w:r>
              <w:rPr>
                <w:noProof/>
                <w:webHidden/>
              </w:rPr>
              <w:tab/>
            </w:r>
            <w:r>
              <w:rPr>
                <w:noProof/>
                <w:webHidden/>
              </w:rPr>
              <w:fldChar w:fldCharType="begin"/>
            </w:r>
            <w:r>
              <w:rPr>
                <w:noProof/>
                <w:webHidden/>
              </w:rPr>
              <w:instrText xml:space="preserve"> PAGEREF _Toc126664567 \h </w:instrText>
            </w:r>
            <w:r>
              <w:rPr>
                <w:noProof/>
                <w:webHidden/>
              </w:rPr>
            </w:r>
            <w:r>
              <w:rPr>
                <w:noProof/>
                <w:webHidden/>
              </w:rPr>
              <w:fldChar w:fldCharType="separate"/>
            </w:r>
            <w:r>
              <w:rPr>
                <w:noProof/>
                <w:webHidden/>
              </w:rPr>
              <w:t>8</w:t>
            </w:r>
            <w:r>
              <w:rPr>
                <w:noProof/>
                <w:webHidden/>
              </w:rPr>
              <w:fldChar w:fldCharType="end"/>
            </w:r>
          </w:hyperlink>
        </w:p>
        <w:p w14:paraId="3ECFC342" w14:textId="4D5D65B8" w:rsidR="00C42CD1" w:rsidRDefault="00C42CD1">
          <w:pPr>
            <w:pStyle w:val="Sommario3"/>
            <w:rPr>
              <w:rFonts w:eastAsiaTheme="minorEastAsia"/>
              <w:noProof/>
              <w:lang w:eastAsia="it-IT"/>
            </w:rPr>
          </w:pPr>
          <w:hyperlink w:anchor="_Toc126664568" w:history="1">
            <w:r w:rsidRPr="0046335B">
              <w:rPr>
                <w:rStyle w:val="Collegamentoipertestuale"/>
                <w:rFonts w:ascii="Calibri" w:eastAsia="Times New Roman" w:hAnsi="Calibri" w:cs="Times New Roman"/>
                <w:b/>
                <w:iCs/>
                <w:noProof/>
                <w:snapToGrid w:val="0"/>
                <w:lang w:eastAsia="it-IT"/>
              </w:rPr>
              <w:t>2- Registrazione</w:t>
            </w:r>
            <w:r>
              <w:rPr>
                <w:noProof/>
                <w:webHidden/>
              </w:rPr>
              <w:tab/>
            </w:r>
            <w:r>
              <w:rPr>
                <w:noProof/>
                <w:webHidden/>
              </w:rPr>
              <w:fldChar w:fldCharType="begin"/>
            </w:r>
            <w:r>
              <w:rPr>
                <w:noProof/>
                <w:webHidden/>
              </w:rPr>
              <w:instrText xml:space="preserve"> PAGEREF _Toc126664568 \h </w:instrText>
            </w:r>
            <w:r>
              <w:rPr>
                <w:noProof/>
                <w:webHidden/>
              </w:rPr>
            </w:r>
            <w:r>
              <w:rPr>
                <w:noProof/>
                <w:webHidden/>
              </w:rPr>
              <w:fldChar w:fldCharType="separate"/>
            </w:r>
            <w:r>
              <w:rPr>
                <w:noProof/>
                <w:webHidden/>
              </w:rPr>
              <w:t>8</w:t>
            </w:r>
            <w:r>
              <w:rPr>
                <w:noProof/>
                <w:webHidden/>
              </w:rPr>
              <w:fldChar w:fldCharType="end"/>
            </w:r>
          </w:hyperlink>
        </w:p>
        <w:p w14:paraId="43829DCF" w14:textId="3F462DBA" w:rsidR="00C42CD1" w:rsidRDefault="00C42CD1">
          <w:pPr>
            <w:pStyle w:val="Sommario3"/>
            <w:rPr>
              <w:rFonts w:eastAsiaTheme="minorEastAsia"/>
              <w:noProof/>
              <w:lang w:eastAsia="it-IT"/>
            </w:rPr>
          </w:pPr>
          <w:hyperlink w:anchor="_Toc126664569" w:history="1">
            <w:r w:rsidRPr="0046335B">
              <w:rPr>
                <w:rStyle w:val="Collegamentoipertestuale"/>
                <w:rFonts w:ascii="Calibri" w:eastAsia="Times New Roman" w:hAnsi="Calibri" w:cs="Times New Roman"/>
                <w:b/>
                <w:iCs/>
                <w:noProof/>
                <w:snapToGrid w:val="0"/>
                <w:lang w:eastAsia="it-IT"/>
              </w:rPr>
              <w:t>3-Esenzione dalla registrazione motivazione</w:t>
            </w:r>
            <w:r>
              <w:rPr>
                <w:noProof/>
                <w:webHidden/>
              </w:rPr>
              <w:tab/>
            </w:r>
            <w:r>
              <w:rPr>
                <w:noProof/>
                <w:webHidden/>
              </w:rPr>
              <w:fldChar w:fldCharType="begin"/>
            </w:r>
            <w:r>
              <w:rPr>
                <w:noProof/>
                <w:webHidden/>
              </w:rPr>
              <w:instrText xml:space="preserve"> PAGEREF _Toc126664569 \h </w:instrText>
            </w:r>
            <w:r>
              <w:rPr>
                <w:noProof/>
                <w:webHidden/>
              </w:rPr>
            </w:r>
            <w:r>
              <w:rPr>
                <w:noProof/>
                <w:webHidden/>
              </w:rPr>
              <w:fldChar w:fldCharType="separate"/>
            </w:r>
            <w:r>
              <w:rPr>
                <w:noProof/>
                <w:webHidden/>
              </w:rPr>
              <w:t>9</w:t>
            </w:r>
            <w:r>
              <w:rPr>
                <w:noProof/>
                <w:webHidden/>
              </w:rPr>
              <w:fldChar w:fldCharType="end"/>
            </w:r>
          </w:hyperlink>
        </w:p>
        <w:p w14:paraId="04ECD815" w14:textId="1F97CE87" w:rsidR="00C42CD1" w:rsidRDefault="00C42CD1">
          <w:pPr>
            <w:pStyle w:val="Sommario3"/>
            <w:rPr>
              <w:rFonts w:eastAsiaTheme="minorEastAsia"/>
              <w:noProof/>
              <w:lang w:eastAsia="it-IT"/>
            </w:rPr>
          </w:pPr>
          <w:hyperlink w:anchor="_Toc126664570" w:history="1">
            <w:r w:rsidRPr="0046335B">
              <w:rPr>
                <w:rStyle w:val="Collegamentoipertestuale"/>
                <w:rFonts w:ascii="Calibri" w:eastAsia="Times New Roman" w:hAnsi="Calibri" w:cs="Times New Roman"/>
                <w:b/>
                <w:iCs/>
                <w:noProof/>
                <w:snapToGrid w:val="0"/>
                <w:lang w:eastAsia="it-IT"/>
              </w:rPr>
              <w:t>4- Valutazione della sicurezza chimica (CSA - Chemical Safety Assessment)</w:t>
            </w:r>
            <w:r>
              <w:rPr>
                <w:noProof/>
                <w:webHidden/>
              </w:rPr>
              <w:tab/>
            </w:r>
            <w:r>
              <w:rPr>
                <w:noProof/>
                <w:webHidden/>
              </w:rPr>
              <w:fldChar w:fldCharType="begin"/>
            </w:r>
            <w:r>
              <w:rPr>
                <w:noProof/>
                <w:webHidden/>
              </w:rPr>
              <w:instrText xml:space="preserve"> PAGEREF _Toc126664570 \h </w:instrText>
            </w:r>
            <w:r>
              <w:rPr>
                <w:noProof/>
                <w:webHidden/>
              </w:rPr>
            </w:r>
            <w:r>
              <w:rPr>
                <w:noProof/>
                <w:webHidden/>
              </w:rPr>
              <w:fldChar w:fldCharType="separate"/>
            </w:r>
            <w:r>
              <w:rPr>
                <w:noProof/>
                <w:webHidden/>
              </w:rPr>
              <w:t>9</w:t>
            </w:r>
            <w:r>
              <w:rPr>
                <w:noProof/>
                <w:webHidden/>
              </w:rPr>
              <w:fldChar w:fldCharType="end"/>
            </w:r>
          </w:hyperlink>
        </w:p>
        <w:p w14:paraId="0D2A54DB" w14:textId="7362AAC8" w:rsidR="00C42CD1" w:rsidRDefault="00C42CD1">
          <w:pPr>
            <w:pStyle w:val="Sommario3"/>
            <w:rPr>
              <w:rFonts w:eastAsiaTheme="minorEastAsia"/>
              <w:noProof/>
              <w:lang w:eastAsia="it-IT"/>
            </w:rPr>
          </w:pPr>
          <w:hyperlink w:anchor="_Toc126664571" w:history="1">
            <w:r w:rsidRPr="0046335B">
              <w:rPr>
                <w:rStyle w:val="Collegamentoipertestuale"/>
                <w:rFonts w:ascii="Calibri" w:eastAsia="Times New Roman" w:hAnsi="Calibri" w:cs="Times New Roman"/>
                <w:b/>
                <w:iCs/>
                <w:noProof/>
                <w:snapToGrid w:val="0"/>
                <w:lang w:eastAsia="it-IT"/>
              </w:rPr>
              <w:t>5- Valutazione PBT e vPvB</w:t>
            </w:r>
            <w:r>
              <w:rPr>
                <w:noProof/>
                <w:webHidden/>
              </w:rPr>
              <w:tab/>
            </w:r>
            <w:r>
              <w:rPr>
                <w:noProof/>
                <w:webHidden/>
              </w:rPr>
              <w:fldChar w:fldCharType="begin"/>
            </w:r>
            <w:r>
              <w:rPr>
                <w:noProof/>
                <w:webHidden/>
              </w:rPr>
              <w:instrText xml:space="preserve"> PAGEREF _Toc126664571 \h </w:instrText>
            </w:r>
            <w:r>
              <w:rPr>
                <w:noProof/>
                <w:webHidden/>
              </w:rPr>
            </w:r>
            <w:r>
              <w:rPr>
                <w:noProof/>
                <w:webHidden/>
              </w:rPr>
              <w:fldChar w:fldCharType="separate"/>
            </w:r>
            <w:r>
              <w:rPr>
                <w:noProof/>
                <w:webHidden/>
              </w:rPr>
              <w:t>9</w:t>
            </w:r>
            <w:r>
              <w:rPr>
                <w:noProof/>
                <w:webHidden/>
              </w:rPr>
              <w:fldChar w:fldCharType="end"/>
            </w:r>
          </w:hyperlink>
        </w:p>
        <w:p w14:paraId="2C060404" w14:textId="7DE0DEA8" w:rsidR="00C42CD1" w:rsidRDefault="00C42CD1">
          <w:pPr>
            <w:pStyle w:val="Sommario3"/>
            <w:rPr>
              <w:rFonts w:eastAsiaTheme="minorEastAsia"/>
              <w:noProof/>
              <w:lang w:eastAsia="it-IT"/>
            </w:rPr>
          </w:pPr>
          <w:hyperlink w:anchor="_Toc126664572" w:history="1">
            <w:r w:rsidRPr="0046335B">
              <w:rPr>
                <w:rStyle w:val="Collegamentoipertestuale"/>
                <w:rFonts w:ascii="Calibri" w:eastAsia="Times New Roman" w:hAnsi="Calibri" w:cs="Times New Roman"/>
                <w:b/>
                <w:iCs/>
                <w:noProof/>
                <w:snapToGrid w:val="0"/>
                <w:lang w:eastAsia="it-IT"/>
              </w:rPr>
              <w:t>CLASSIFICAZIONE ETICHETTATURA ED IMBALLAGGIO</w:t>
            </w:r>
            <w:r>
              <w:rPr>
                <w:noProof/>
                <w:webHidden/>
              </w:rPr>
              <w:tab/>
            </w:r>
            <w:r>
              <w:rPr>
                <w:noProof/>
                <w:webHidden/>
              </w:rPr>
              <w:fldChar w:fldCharType="begin"/>
            </w:r>
            <w:r>
              <w:rPr>
                <w:noProof/>
                <w:webHidden/>
              </w:rPr>
              <w:instrText xml:space="preserve"> PAGEREF _Toc126664572 \h </w:instrText>
            </w:r>
            <w:r>
              <w:rPr>
                <w:noProof/>
                <w:webHidden/>
              </w:rPr>
            </w:r>
            <w:r>
              <w:rPr>
                <w:noProof/>
                <w:webHidden/>
              </w:rPr>
              <w:fldChar w:fldCharType="separate"/>
            </w:r>
            <w:r>
              <w:rPr>
                <w:noProof/>
                <w:webHidden/>
              </w:rPr>
              <w:t>9</w:t>
            </w:r>
            <w:r>
              <w:rPr>
                <w:noProof/>
                <w:webHidden/>
              </w:rPr>
              <w:fldChar w:fldCharType="end"/>
            </w:r>
          </w:hyperlink>
        </w:p>
        <w:p w14:paraId="7DD4D89A" w14:textId="6724D1C0" w:rsidR="00C42CD1" w:rsidRDefault="00C42CD1">
          <w:pPr>
            <w:pStyle w:val="Sommario3"/>
            <w:rPr>
              <w:rFonts w:eastAsiaTheme="minorEastAsia"/>
              <w:noProof/>
              <w:lang w:eastAsia="it-IT"/>
            </w:rPr>
          </w:pPr>
          <w:hyperlink w:anchor="_Toc126664573" w:history="1">
            <w:r w:rsidRPr="0046335B">
              <w:rPr>
                <w:rStyle w:val="Collegamentoipertestuale"/>
                <w:rFonts w:ascii="Calibri" w:eastAsia="Times New Roman" w:hAnsi="Calibri" w:cs="Times New Roman"/>
                <w:b/>
                <w:iCs/>
                <w:noProof/>
                <w:snapToGrid w:val="0"/>
                <w:lang w:eastAsia="it-IT"/>
              </w:rPr>
              <w:t>6-Classificazione CLP</w:t>
            </w:r>
            <w:r>
              <w:rPr>
                <w:noProof/>
                <w:webHidden/>
              </w:rPr>
              <w:tab/>
            </w:r>
            <w:r>
              <w:rPr>
                <w:noProof/>
                <w:webHidden/>
              </w:rPr>
              <w:fldChar w:fldCharType="begin"/>
            </w:r>
            <w:r>
              <w:rPr>
                <w:noProof/>
                <w:webHidden/>
              </w:rPr>
              <w:instrText xml:space="preserve"> PAGEREF _Toc126664573 \h </w:instrText>
            </w:r>
            <w:r>
              <w:rPr>
                <w:noProof/>
                <w:webHidden/>
              </w:rPr>
            </w:r>
            <w:r>
              <w:rPr>
                <w:noProof/>
                <w:webHidden/>
              </w:rPr>
              <w:fldChar w:fldCharType="separate"/>
            </w:r>
            <w:r>
              <w:rPr>
                <w:noProof/>
                <w:webHidden/>
              </w:rPr>
              <w:t>9</w:t>
            </w:r>
            <w:r>
              <w:rPr>
                <w:noProof/>
                <w:webHidden/>
              </w:rPr>
              <w:fldChar w:fldCharType="end"/>
            </w:r>
          </w:hyperlink>
        </w:p>
        <w:p w14:paraId="69869343" w14:textId="4D661FF0" w:rsidR="00C42CD1" w:rsidRDefault="00C42CD1">
          <w:pPr>
            <w:pStyle w:val="Sommario3"/>
            <w:rPr>
              <w:rFonts w:eastAsiaTheme="minorEastAsia"/>
              <w:noProof/>
              <w:lang w:eastAsia="it-IT"/>
            </w:rPr>
          </w:pPr>
          <w:hyperlink w:anchor="_Toc126664574" w:history="1">
            <w:r w:rsidRPr="0046335B">
              <w:rPr>
                <w:rStyle w:val="Collegamentoipertestuale"/>
                <w:rFonts w:ascii="Calibri" w:eastAsia="Times New Roman" w:hAnsi="Calibri" w:cs="Times New Roman"/>
                <w:b/>
                <w:iCs/>
                <w:noProof/>
                <w:snapToGrid w:val="0"/>
                <w:lang w:eastAsia="it-IT"/>
              </w:rPr>
              <w:t>7,8- Etichettatura ed imballaggio</w:t>
            </w:r>
            <w:r>
              <w:rPr>
                <w:noProof/>
                <w:webHidden/>
              </w:rPr>
              <w:tab/>
            </w:r>
            <w:r>
              <w:rPr>
                <w:noProof/>
                <w:webHidden/>
              </w:rPr>
              <w:fldChar w:fldCharType="begin"/>
            </w:r>
            <w:r>
              <w:rPr>
                <w:noProof/>
                <w:webHidden/>
              </w:rPr>
              <w:instrText xml:space="preserve"> PAGEREF _Toc126664574 \h </w:instrText>
            </w:r>
            <w:r>
              <w:rPr>
                <w:noProof/>
                <w:webHidden/>
              </w:rPr>
            </w:r>
            <w:r>
              <w:rPr>
                <w:noProof/>
                <w:webHidden/>
              </w:rPr>
              <w:fldChar w:fldCharType="separate"/>
            </w:r>
            <w:r>
              <w:rPr>
                <w:noProof/>
                <w:webHidden/>
              </w:rPr>
              <w:t>10</w:t>
            </w:r>
            <w:r>
              <w:rPr>
                <w:noProof/>
                <w:webHidden/>
              </w:rPr>
              <w:fldChar w:fldCharType="end"/>
            </w:r>
          </w:hyperlink>
        </w:p>
        <w:p w14:paraId="6ACC7357" w14:textId="1B7B17D2" w:rsidR="00C42CD1" w:rsidRDefault="00C42CD1">
          <w:pPr>
            <w:pStyle w:val="Sommario3"/>
            <w:rPr>
              <w:rFonts w:eastAsiaTheme="minorEastAsia"/>
              <w:noProof/>
              <w:lang w:eastAsia="it-IT"/>
            </w:rPr>
          </w:pPr>
          <w:hyperlink w:anchor="_Toc126664575" w:history="1">
            <w:r w:rsidRPr="0046335B">
              <w:rPr>
                <w:rStyle w:val="Collegamentoipertestuale"/>
                <w:rFonts w:ascii="Calibri" w:eastAsia="Times New Roman" w:hAnsi="Calibri" w:cs="Times New Roman"/>
                <w:b/>
                <w:iCs/>
                <w:noProof/>
                <w:snapToGrid w:val="0"/>
                <w:lang w:eastAsia="it-IT"/>
              </w:rPr>
              <w:t>SCHEDA DATI DI SICUREZZA</w:t>
            </w:r>
            <w:r>
              <w:rPr>
                <w:noProof/>
                <w:webHidden/>
              </w:rPr>
              <w:tab/>
            </w:r>
            <w:r>
              <w:rPr>
                <w:noProof/>
                <w:webHidden/>
              </w:rPr>
              <w:fldChar w:fldCharType="begin"/>
            </w:r>
            <w:r>
              <w:rPr>
                <w:noProof/>
                <w:webHidden/>
              </w:rPr>
              <w:instrText xml:space="preserve"> PAGEREF _Toc126664575 \h </w:instrText>
            </w:r>
            <w:r>
              <w:rPr>
                <w:noProof/>
                <w:webHidden/>
              </w:rPr>
            </w:r>
            <w:r>
              <w:rPr>
                <w:noProof/>
                <w:webHidden/>
              </w:rPr>
              <w:fldChar w:fldCharType="separate"/>
            </w:r>
            <w:r>
              <w:rPr>
                <w:noProof/>
                <w:webHidden/>
              </w:rPr>
              <w:t>11</w:t>
            </w:r>
            <w:r>
              <w:rPr>
                <w:noProof/>
                <w:webHidden/>
              </w:rPr>
              <w:fldChar w:fldCharType="end"/>
            </w:r>
          </w:hyperlink>
        </w:p>
        <w:p w14:paraId="4071B010" w14:textId="7D46C3FA" w:rsidR="00C42CD1" w:rsidRDefault="00C42CD1">
          <w:pPr>
            <w:pStyle w:val="Sommario3"/>
            <w:rPr>
              <w:rFonts w:eastAsiaTheme="minorEastAsia"/>
              <w:noProof/>
              <w:lang w:eastAsia="it-IT"/>
            </w:rPr>
          </w:pPr>
          <w:hyperlink w:anchor="_Toc126664576" w:history="1">
            <w:r w:rsidRPr="0046335B">
              <w:rPr>
                <w:rStyle w:val="Collegamentoipertestuale"/>
                <w:rFonts w:ascii="Calibri" w:eastAsia="Times New Roman" w:hAnsi="Calibri" w:cs="Times New Roman"/>
                <w:b/>
                <w:iCs/>
                <w:noProof/>
                <w:snapToGrid w:val="0"/>
                <w:lang w:eastAsia="it-IT"/>
              </w:rPr>
              <w:t>Obbligo di fornire una SDS secondo il REACH</w:t>
            </w:r>
            <w:r>
              <w:rPr>
                <w:noProof/>
                <w:webHidden/>
              </w:rPr>
              <w:tab/>
            </w:r>
            <w:r>
              <w:rPr>
                <w:noProof/>
                <w:webHidden/>
              </w:rPr>
              <w:fldChar w:fldCharType="begin"/>
            </w:r>
            <w:r>
              <w:rPr>
                <w:noProof/>
                <w:webHidden/>
              </w:rPr>
              <w:instrText xml:space="preserve"> PAGEREF _Toc126664576 \h </w:instrText>
            </w:r>
            <w:r>
              <w:rPr>
                <w:noProof/>
                <w:webHidden/>
              </w:rPr>
            </w:r>
            <w:r>
              <w:rPr>
                <w:noProof/>
                <w:webHidden/>
              </w:rPr>
              <w:fldChar w:fldCharType="separate"/>
            </w:r>
            <w:r>
              <w:rPr>
                <w:noProof/>
                <w:webHidden/>
              </w:rPr>
              <w:t>11</w:t>
            </w:r>
            <w:r>
              <w:rPr>
                <w:noProof/>
                <w:webHidden/>
              </w:rPr>
              <w:fldChar w:fldCharType="end"/>
            </w:r>
          </w:hyperlink>
        </w:p>
        <w:p w14:paraId="647C3F89" w14:textId="72FA285F" w:rsidR="00C42CD1" w:rsidRDefault="00C42CD1">
          <w:pPr>
            <w:pStyle w:val="Sommario3"/>
            <w:rPr>
              <w:rFonts w:eastAsiaTheme="minorEastAsia"/>
              <w:noProof/>
              <w:lang w:eastAsia="it-IT"/>
            </w:rPr>
          </w:pPr>
          <w:hyperlink w:anchor="_Toc126664577" w:history="1">
            <w:r w:rsidRPr="0046335B">
              <w:rPr>
                <w:rStyle w:val="Collegamentoipertestuale"/>
                <w:rFonts w:ascii="Calibri" w:eastAsia="Times New Roman" w:hAnsi="Calibri" w:cs="Times New Roman"/>
                <w:b/>
                <w:iCs/>
                <w:noProof/>
                <w:snapToGrid w:val="0"/>
                <w:lang w:eastAsia="it-IT"/>
              </w:rPr>
              <w:t>9-a) se una sostanza o una miscela risponde ai criteri di classificazione come pericolosa secondo il CLP</w:t>
            </w:r>
            <w:r>
              <w:rPr>
                <w:noProof/>
                <w:webHidden/>
              </w:rPr>
              <w:tab/>
            </w:r>
            <w:r>
              <w:rPr>
                <w:noProof/>
                <w:webHidden/>
              </w:rPr>
              <w:fldChar w:fldCharType="begin"/>
            </w:r>
            <w:r>
              <w:rPr>
                <w:noProof/>
                <w:webHidden/>
              </w:rPr>
              <w:instrText xml:space="preserve"> PAGEREF _Toc126664577 \h </w:instrText>
            </w:r>
            <w:r>
              <w:rPr>
                <w:noProof/>
                <w:webHidden/>
              </w:rPr>
            </w:r>
            <w:r>
              <w:rPr>
                <w:noProof/>
                <w:webHidden/>
              </w:rPr>
              <w:fldChar w:fldCharType="separate"/>
            </w:r>
            <w:r>
              <w:rPr>
                <w:noProof/>
                <w:webHidden/>
              </w:rPr>
              <w:t>11</w:t>
            </w:r>
            <w:r>
              <w:rPr>
                <w:noProof/>
                <w:webHidden/>
              </w:rPr>
              <w:fldChar w:fldCharType="end"/>
            </w:r>
          </w:hyperlink>
        </w:p>
        <w:p w14:paraId="0D9E4FED" w14:textId="3FF735A5" w:rsidR="00C42CD1" w:rsidRDefault="00C42CD1">
          <w:pPr>
            <w:pStyle w:val="Sommario3"/>
            <w:rPr>
              <w:rFonts w:eastAsiaTheme="minorEastAsia"/>
              <w:noProof/>
              <w:lang w:eastAsia="it-IT"/>
            </w:rPr>
          </w:pPr>
          <w:hyperlink w:anchor="_Toc126664578" w:history="1">
            <w:r w:rsidRPr="0046335B">
              <w:rPr>
                <w:rStyle w:val="Collegamentoipertestuale"/>
                <w:rFonts w:ascii="Calibri" w:eastAsia="Times New Roman" w:hAnsi="Calibri" w:cs="Times New Roman"/>
                <w:b/>
                <w:iCs/>
                <w:noProof/>
                <w:snapToGrid w:val="0"/>
                <w:lang w:eastAsia="it-IT"/>
              </w:rPr>
              <w:t>10-b) quando una sostanza è persistente, bioaccumulabile e tossica (PBT), ovvero molto persistente e molto bioaccumulabile (vPvB) in base ai criteri di cui all’allegato XIII del REACH;</w:t>
            </w:r>
            <w:r>
              <w:rPr>
                <w:noProof/>
                <w:webHidden/>
              </w:rPr>
              <w:tab/>
            </w:r>
            <w:r>
              <w:rPr>
                <w:noProof/>
                <w:webHidden/>
              </w:rPr>
              <w:fldChar w:fldCharType="begin"/>
            </w:r>
            <w:r>
              <w:rPr>
                <w:noProof/>
                <w:webHidden/>
              </w:rPr>
              <w:instrText xml:space="preserve"> PAGEREF _Toc126664578 \h </w:instrText>
            </w:r>
            <w:r>
              <w:rPr>
                <w:noProof/>
                <w:webHidden/>
              </w:rPr>
            </w:r>
            <w:r>
              <w:rPr>
                <w:noProof/>
                <w:webHidden/>
              </w:rPr>
              <w:fldChar w:fldCharType="separate"/>
            </w:r>
            <w:r>
              <w:rPr>
                <w:noProof/>
                <w:webHidden/>
              </w:rPr>
              <w:t>11</w:t>
            </w:r>
            <w:r>
              <w:rPr>
                <w:noProof/>
                <w:webHidden/>
              </w:rPr>
              <w:fldChar w:fldCharType="end"/>
            </w:r>
          </w:hyperlink>
        </w:p>
        <w:p w14:paraId="0D6CF2D2" w14:textId="759D5063" w:rsidR="00C42CD1" w:rsidRDefault="00C42CD1">
          <w:pPr>
            <w:pStyle w:val="Sommario3"/>
            <w:rPr>
              <w:rFonts w:eastAsiaTheme="minorEastAsia"/>
              <w:noProof/>
              <w:lang w:eastAsia="it-IT"/>
            </w:rPr>
          </w:pPr>
          <w:hyperlink w:anchor="_Toc126664579" w:history="1">
            <w:r w:rsidRPr="0046335B">
              <w:rPr>
                <w:rStyle w:val="Collegamentoipertestuale"/>
                <w:rFonts w:ascii="Calibri" w:eastAsia="Times New Roman" w:hAnsi="Calibri" w:cs="Times New Roman"/>
                <w:b/>
                <w:iCs/>
                <w:noProof/>
                <w:snapToGrid w:val="0"/>
                <w:lang w:eastAsia="it-IT"/>
              </w:rPr>
              <w:t>11-c) quando una sostanza è inclusa nell'elenco stabilito a norma dell'articolo 59, par. 1 (candidate list) per ragioni diverse da quelle di cui alle lettere a) e b).</w:t>
            </w:r>
            <w:r>
              <w:rPr>
                <w:noProof/>
                <w:webHidden/>
              </w:rPr>
              <w:tab/>
            </w:r>
            <w:r>
              <w:rPr>
                <w:noProof/>
                <w:webHidden/>
              </w:rPr>
              <w:fldChar w:fldCharType="begin"/>
            </w:r>
            <w:r>
              <w:rPr>
                <w:noProof/>
                <w:webHidden/>
              </w:rPr>
              <w:instrText xml:space="preserve"> PAGEREF _Toc126664579 \h </w:instrText>
            </w:r>
            <w:r>
              <w:rPr>
                <w:noProof/>
                <w:webHidden/>
              </w:rPr>
            </w:r>
            <w:r>
              <w:rPr>
                <w:noProof/>
                <w:webHidden/>
              </w:rPr>
              <w:fldChar w:fldCharType="separate"/>
            </w:r>
            <w:r>
              <w:rPr>
                <w:noProof/>
                <w:webHidden/>
              </w:rPr>
              <w:t>11</w:t>
            </w:r>
            <w:r>
              <w:rPr>
                <w:noProof/>
                <w:webHidden/>
              </w:rPr>
              <w:fldChar w:fldCharType="end"/>
            </w:r>
          </w:hyperlink>
        </w:p>
        <w:p w14:paraId="27AC0CDA" w14:textId="5C72FADE" w:rsidR="00C42CD1" w:rsidRDefault="00C42CD1">
          <w:pPr>
            <w:pStyle w:val="Sommario3"/>
            <w:rPr>
              <w:rFonts w:eastAsiaTheme="minorEastAsia"/>
              <w:noProof/>
              <w:lang w:eastAsia="it-IT"/>
            </w:rPr>
          </w:pPr>
          <w:hyperlink w:anchor="_Toc126664580" w:history="1">
            <w:r w:rsidRPr="0046335B">
              <w:rPr>
                <w:rStyle w:val="Collegamentoipertestuale"/>
                <w:rFonts w:ascii="Calibri" w:eastAsia="Times New Roman" w:hAnsi="Calibri" w:cs="Times New Roman"/>
                <w:b/>
                <w:iCs/>
                <w:noProof/>
                <w:snapToGrid w:val="0"/>
                <w:lang w:eastAsia="it-IT"/>
              </w:rPr>
              <w:t>Obbligo di fornire una SDS su richiesta secondo l’All. II Regolamento REACH</w:t>
            </w:r>
            <w:r>
              <w:rPr>
                <w:noProof/>
                <w:webHidden/>
              </w:rPr>
              <w:tab/>
            </w:r>
            <w:r>
              <w:rPr>
                <w:noProof/>
                <w:webHidden/>
              </w:rPr>
              <w:fldChar w:fldCharType="begin"/>
            </w:r>
            <w:r>
              <w:rPr>
                <w:noProof/>
                <w:webHidden/>
              </w:rPr>
              <w:instrText xml:space="preserve"> PAGEREF _Toc126664580 \h </w:instrText>
            </w:r>
            <w:r>
              <w:rPr>
                <w:noProof/>
                <w:webHidden/>
              </w:rPr>
            </w:r>
            <w:r>
              <w:rPr>
                <w:noProof/>
                <w:webHidden/>
              </w:rPr>
              <w:fldChar w:fldCharType="separate"/>
            </w:r>
            <w:r>
              <w:rPr>
                <w:noProof/>
                <w:webHidden/>
              </w:rPr>
              <w:t>11</w:t>
            </w:r>
            <w:r>
              <w:rPr>
                <w:noProof/>
                <w:webHidden/>
              </w:rPr>
              <w:fldChar w:fldCharType="end"/>
            </w:r>
          </w:hyperlink>
        </w:p>
        <w:p w14:paraId="0E75C145" w14:textId="77D25FDC" w:rsidR="00C42CD1" w:rsidRDefault="00C42CD1">
          <w:pPr>
            <w:pStyle w:val="Sommario3"/>
            <w:rPr>
              <w:rFonts w:eastAsiaTheme="minorEastAsia"/>
              <w:noProof/>
              <w:lang w:eastAsia="it-IT"/>
            </w:rPr>
          </w:pPr>
          <w:hyperlink w:anchor="_Toc126664581" w:history="1">
            <w:r w:rsidRPr="0046335B">
              <w:rPr>
                <w:rStyle w:val="Collegamentoipertestuale"/>
                <w:rFonts w:ascii="Calibri" w:eastAsia="Times New Roman" w:hAnsi="Calibri" w:cs="Times New Roman"/>
                <w:b/>
                <w:iCs/>
                <w:noProof/>
                <w:snapToGrid w:val="0"/>
                <w:lang w:eastAsia="it-IT"/>
              </w:rPr>
              <w:t>12-a) in una concentrazione individuale ≥ 1% in peso per le miscele non gassose e in una concentrazione individuale ≥ 0,2 % in volume per le miscele gassose, almeno una sostanza che presenta rischi per la salute umana o l'ambiente; oppure</w:t>
            </w:r>
            <w:r>
              <w:rPr>
                <w:noProof/>
                <w:webHidden/>
              </w:rPr>
              <w:tab/>
            </w:r>
            <w:r>
              <w:rPr>
                <w:noProof/>
                <w:webHidden/>
              </w:rPr>
              <w:fldChar w:fldCharType="begin"/>
            </w:r>
            <w:r>
              <w:rPr>
                <w:noProof/>
                <w:webHidden/>
              </w:rPr>
              <w:instrText xml:space="preserve"> PAGEREF _Toc126664581 \h </w:instrText>
            </w:r>
            <w:r>
              <w:rPr>
                <w:noProof/>
                <w:webHidden/>
              </w:rPr>
            </w:r>
            <w:r>
              <w:rPr>
                <w:noProof/>
                <w:webHidden/>
              </w:rPr>
              <w:fldChar w:fldCharType="separate"/>
            </w:r>
            <w:r>
              <w:rPr>
                <w:noProof/>
                <w:webHidden/>
              </w:rPr>
              <w:t>11</w:t>
            </w:r>
            <w:r>
              <w:rPr>
                <w:noProof/>
                <w:webHidden/>
              </w:rPr>
              <w:fldChar w:fldCharType="end"/>
            </w:r>
          </w:hyperlink>
        </w:p>
        <w:p w14:paraId="56841EC6" w14:textId="6EF612E9" w:rsidR="00C42CD1" w:rsidRDefault="00C42CD1">
          <w:pPr>
            <w:pStyle w:val="Sommario3"/>
            <w:rPr>
              <w:rFonts w:eastAsiaTheme="minorEastAsia"/>
              <w:noProof/>
              <w:lang w:eastAsia="it-IT"/>
            </w:rPr>
          </w:pPr>
          <w:hyperlink w:anchor="_Toc126664582" w:history="1">
            <w:r w:rsidRPr="0046335B">
              <w:rPr>
                <w:rStyle w:val="Collegamentoipertestuale"/>
                <w:rFonts w:ascii="Calibri" w:eastAsia="Times New Roman" w:hAnsi="Calibri" w:cs="Times New Roman"/>
                <w:b/>
                <w:iCs/>
                <w:noProof/>
                <w:snapToGrid w:val="0"/>
                <w:lang w:eastAsia="it-IT"/>
              </w:rPr>
              <w:t>13-b) in una concentrazione individuale ≥ 0,1% in peso per le miscele non gassose, almeno una sostanza che è cancerogena di categoria 2 o tossica per la riproduzione di categoria 1A, 1B e 2, sensibilizzante della pelle di categoria 1, sensibilizzante delle vie respiratorie di categoria 1 oppure ha effetti sull'allattamento o attraverso l'allattamento è persistente, bioaccumulabile e tossica (PBT) molto persistente e molto bioaccumulabile (vPvB);</w:t>
            </w:r>
            <w:r>
              <w:rPr>
                <w:noProof/>
                <w:webHidden/>
              </w:rPr>
              <w:tab/>
            </w:r>
            <w:r>
              <w:rPr>
                <w:noProof/>
                <w:webHidden/>
              </w:rPr>
              <w:fldChar w:fldCharType="begin"/>
            </w:r>
            <w:r>
              <w:rPr>
                <w:noProof/>
                <w:webHidden/>
              </w:rPr>
              <w:instrText xml:space="preserve"> PAGEREF _Toc126664582 \h </w:instrText>
            </w:r>
            <w:r>
              <w:rPr>
                <w:noProof/>
                <w:webHidden/>
              </w:rPr>
            </w:r>
            <w:r>
              <w:rPr>
                <w:noProof/>
                <w:webHidden/>
              </w:rPr>
              <w:fldChar w:fldCharType="separate"/>
            </w:r>
            <w:r>
              <w:rPr>
                <w:noProof/>
                <w:webHidden/>
              </w:rPr>
              <w:t>11</w:t>
            </w:r>
            <w:r>
              <w:rPr>
                <w:noProof/>
                <w:webHidden/>
              </w:rPr>
              <w:fldChar w:fldCharType="end"/>
            </w:r>
          </w:hyperlink>
        </w:p>
        <w:p w14:paraId="259D804D" w14:textId="7DDD2609" w:rsidR="00C42CD1" w:rsidRDefault="00C42CD1">
          <w:pPr>
            <w:pStyle w:val="Sommario3"/>
            <w:rPr>
              <w:rFonts w:eastAsiaTheme="minorEastAsia"/>
              <w:noProof/>
              <w:lang w:eastAsia="it-IT"/>
            </w:rPr>
          </w:pPr>
          <w:hyperlink w:anchor="_Toc126664583" w:history="1">
            <w:r w:rsidRPr="0046335B">
              <w:rPr>
                <w:rStyle w:val="Collegamentoipertestuale"/>
                <w:rFonts w:ascii="Calibri" w:eastAsia="Times New Roman" w:hAnsi="Calibri" w:cs="Times New Roman"/>
                <w:b/>
                <w:iCs/>
                <w:noProof/>
                <w:snapToGrid w:val="0"/>
                <w:lang w:eastAsia="it-IT"/>
              </w:rPr>
              <w:t>14-c) una sostanza per la quale la normativa comunitaria fissa limiti di esposizione sul luogo di lavoro</w:t>
            </w:r>
            <w:r>
              <w:rPr>
                <w:noProof/>
                <w:webHidden/>
              </w:rPr>
              <w:tab/>
            </w:r>
            <w:r>
              <w:rPr>
                <w:noProof/>
                <w:webHidden/>
              </w:rPr>
              <w:fldChar w:fldCharType="begin"/>
            </w:r>
            <w:r>
              <w:rPr>
                <w:noProof/>
                <w:webHidden/>
              </w:rPr>
              <w:instrText xml:space="preserve"> PAGEREF _Toc126664583 \h </w:instrText>
            </w:r>
            <w:r>
              <w:rPr>
                <w:noProof/>
                <w:webHidden/>
              </w:rPr>
            </w:r>
            <w:r>
              <w:rPr>
                <w:noProof/>
                <w:webHidden/>
              </w:rPr>
              <w:fldChar w:fldCharType="separate"/>
            </w:r>
            <w:r>
              <w:rPr>
                <w:noProof/>
                <w:webHidden/>
              </w:rPr>
              <w:t>11</w:t>
            </w:r>
            <w:r>
              <w:rPr>
                <w:noProof/>
                <w:webHidden/>
              </w:rPr>
              <w:fldChar w:fldCharType="end"/>
            </w:r>
          </w:hyperlink>
        </w:p>
        <w:p w14:paraId="264FD2CE" w14:textId="264F1FE5" w:rsidR="00C42CD1" w:rsidRDefault="00C42CD1">
          <w:pPr>
            <w:pStyle w:val="Sommario3"/>
            <w:rPr>
              <w:rFonts w:eastAsiaTheme="minorEastAsia"/>
              <w:noProof/>
              <w:lang w:eastAsia="it-IT"/>
            </w:rPr>
          </w:pPr>
          <w:hyperlink w:anchor="_Toc126664584" w:history="1">
            <w:r w:rsidRPr="0046335B">
              <w:rPr>
                <w:rStyle w:val="Collegamentoipertestuale"/>
                <w:rFonts w:ascii="Calibri" w:eastAsia="Times New Roman" w:hAnsi="Calibri" w:cs="Times New Roman"/>
                <w:b/>
                <w:iCs/>
                <w:noProof/>
                <w:snapToGrid w:val="0"/>
                <w:lang w:eastAsia="it-IT"/>
              </w:rPr>
              <w:t>Obbligo di fornire una SDS su richiesta secondo il Regolamenti CLP</w:t>
            </w:r>
            <w:r>
              <w:rPr>
                <w:noProof/>
                <w:webHidden/>
              </w:rPr>
              <w:tab/>
            </w:r>
            <w:r>
              <w:rPr>
                <w:noProof/>
                <w:webHidden/>
              </w:rPr>
              <w:fldChar w:fldCharType="begin"/>
            </w:r>
            <w:r>
              <w:rPr>
                <w:noProof/>
                <w:webHidden/>
              </w:rPr>
              <w:instrText xml:space="preserve"> PAGEREF _Toc126664584 \h </w:instrText>
            </w:r>
            <w:r>
              <w:rPr>
                <w:noProof/>
                <w:webHidden/>
              </w:rPr>
            </w:r>
            <w:r>
              <w:rPr>
                <w:noProof/>
                <w:webHidden/>
              </w:rPr>
              <w:fldChar w:fldCharType="separate"/>
            </w:r>
            <w:r>
              <w:rPr>
                <w:noProof/>
                <w:webHidden/>
              </w:rPr>
              <w:t>12</w:t>
            </w:r>
            <w:r>
              <w:rPr>
                <w:noProof/>
                <w:webHidden/>
              </w:rPr>
              <w:fldChar w:fldCharType="end"/>
            </w:r>
          </w:hyperlink>
        </w:p>
        <w:p w14:paraId="5F56F197" w14:textId="27D13848" w:rsidR="00C42CD1" w:rsidRDefault="00C42CD1">
          <w:pPr>
            <w:pStyle w:val="Sommario3"/>
            <w:rPr>
              <w:rFonts w:eastAsiaTheme="minorEastAsia"/>
              <w:noProof/>
              <w:lang w:eastAsia="it-IT"/>
            </w:rPr>
          </w:pPr>
          <w:hyperlink w:anchor="_Toc126664585" w:history="1">
            <w:r w:rsidRPr="0046335B">
              <w:rPr>
                <w:rStyle w:val="Collegamentoipertestuale"/>
                <w:rFonts w:ascii="Calibri" w:eastAsia="Times New Roman" w:hAnsi="Calibri" w:cs="Times New Roman"/>
                <w:b/>
                <w:iCs/>
                <w:noProof/>
                <w:snapToGrid w:val="0"/>
                <w:lang w:eastAsia="it-IT"/>
              </w:rPr>
              <w:t>15-a) ≥ 0,1 % di sostanze classificate come sensibilizzanti della pelle di categoria 1, 1B, sensibilizzanti delle vie respiratorie di categoria 1, 1B, o cancerogene di categoria 2</w:t>
            </w:r>
            <w:r>
              <w:rPr>
                <w:noProof/>
                <w:webHidden/>
              </w:rPr>
              <w:tab/>
            </w:r>
            <w:r>
              <w:rPr>
                <w:noProof/>
                <w:webHidden/>
              </w:rPr>
              <w:fldChar w:fldCharType="begin"/>
            </w:r>
            <w:r>
              <w:rPr>
                <w:noProof/>
                <w:webHidden/>
              </w:rPr>
              <w:instrText xml:space="preserve"> PAGEREF _Toc126664585 \h </w:instrText>
            </w:r>
            <w:r>
              <w:rPr>
                <w:noProof/>
                <w:webHidden/>
              </w:rPr>
            </w:r>
            <w:r>
              <w:rPr>
                <w:noProof/>
                <w:webHidden/>
              </w:rPr>
              <w:fldChar w:fldCharType="separate"/>
            </w:r>
            <w:r>
              <w:rPr>
                <w:noProof/>
                <w:webHidden/>
              </w:rPr>
              <w:t>12</w:t>
            </w:r>
            <w:r>
              <w:rPr>
                <w:noProof/>
                <w:webHidden/>
              </w:rPr>
              <w:fldChar w:fldCharType="end"/>
            </w:r>
          </w:hyperlink>
        </w:p>
        <w:p w14:paraId="257F1602" w14:textId="31014BAF" w:rsidR="00C42CD1" w:rsidRDefault="00C42CD1">
          <w:pPr>
            <w:pStyle w:val="Sommario3"/>
            <w:rPr>
              <w:rFonts w:eastAsiaTheme="minorEastAsia"/>
              <w:noProof/>
              <w:lang w:eastAsia="it-IT"/>
            </w:rPr>
          </w:pPr>
          <w:hyperlink w:anchor="_Toc126664586" w:history="1">
            <w:r w:rsidRPr="0046335B">
              <w:rPr>
                <w:rStyle w:val="Collegamentoipertestuale"/>
                <w:rFonts w:ascii="Calibri" w:eastAsia="Times New Roman" w:hAnsi="Calibri" w:cs="Times New Roman"/>
                <w:b/>
                <w:iCs/>
                <w:noProof/>
                <w:snapToGrid w:val="0"/>
                <w:lang w:eastAsia="it-IT"/>
              </w:rPr>
              <w:t>16-b) ≥ 0,01 % di sostanze classificate come sensibilizzanti della pelle di categoria 1A, sensibilizzanti delle vie respiratorie di categoria 1A,</w:t>
            </w:r>
            <w:r>
              <w:rPr>
                <w:noProof/>
                <w:webHidden/>
              </w:rPr>
              <w:tab/>
            </w:r>
            <w:r>
              <w:rPr>
                <w:noProof/>
                <w:webHidden/>
              </w:rPr>
              <w:fldChar w:fldCharType="begin"/>
            </w:r>
            <w:r>
              <w:rPr>
                <w:noProof/>
                <w:webHidden/>
              </w:rPr>
              <w:instrText xml:space="preserve"> PAGEREF _Toc126664586 \h </w:instrText>
            </w:r>
            <w:r>
              <w:rPr>
                <w:noProof/>
                <w:webHidden/>
              </w:rPr>
            </w:r>
            <w:r>
              <w:rPr>
                <w:noProof/>
                <w:webHidden/>
              </w:rPr>
              <w:fldChar w:fldCharType="separate"/>
            </w:r>
            <w:r>
              <w:rPr>
                <w:noProof/>
                <w:webHidden/>
              </w:rPr>
              <w:t>12</w:t>
            </w:r>
            <w:r>
              <w:rPr>
                <w:noProof/>
                <w:webHidden/>
              </w:rPr>
              <w:fldChar w:fldCharType="end"/>
            </w:r>
          </w:hyperlink>
        </w:p>
        <w:p w14:paraId="177C10A3" w14:textId="0B6DF3E7" w:rsidR="00C42CD1" w:rsidRDefault="00C42CD1">
          <w:pPr>
            <w:pStyle w:val="Sommario3"/>
            <w:rPr>
              <w:rFonts w:eastAsiaTheme="minorEastAsia"/>
              <w:noProof/>
              <w:lang w:eastAsia="it-IT"/>
            </w:rPr>
          </w:pPr>
          <w:hyperlink w:anchor="_Toc126664587" w:history="1">
            <w:r w:rsidRPr="0046335B">
              <w:rPr>
                <w:rStyle w:val="Collegamentoipertestuale"/>
                <w:rFonts w:ascii="Calibri" w:eastAsia="Times New Roman" w:hAnsi="Calibri" w:cs="Times New Roman"/>
                <w:b/>
                <w:iCs/>
                <w:noProof/>
                <w:snapToGrid w:val="0"/>
                <w:lang w:eastAsia="it-IT"/>
              </w:rPr>
              <w:t>17-c) ≥ un decimo del limite di concentrazione specifico per una sostanza classificata come sensibilizzante della pelle o delle vie respiratorie con limite di concentrazione specifico &lt; 0,1 %,</w:t>
            </w:r>
            <w:r>
              <w:rPr>
                <w:noProof/>
                <w:webHidden/>
              </w:rPr>
              <w:tab/>
            </w:r>
            <w:r>
              <w:rPr>
                <w:noProof/>
                <w:webHidden/>
              </w:rPr>
              <w:fldChar w:fldCharType="begin"/>
            </w:r>
            <w:r>
              <w:rPr>
                <w:noProof/>
                <w:webHidden/>
              </w:rPr>
              <w:instrText xml:space="preserve"> PAGEREF _Toc126664587 \h </w:instrText>
            </w:r>
            <w:r>
              <w:rPr>
                <w:noProof/>
                <w:webHidden/>
              </w:rPr>
            </w:r>
            <w:r>
              <w:rPr>
                <w:noProof/>
                <w:webHidden/>
              </w:rPr>
              <w:fldChar w:fldCharType="separate"/>
            </w:r>
            <w:r>
              <w:rPr>
                <w:noProof/>
                <w:webHidden/>
              </w:rPr>
              <w:t>12</w:t>
            </w:r>
            <w:r>
              <w:rPr>
                <w:noProof/>
                <w:webHidden/>
              </w:rPr>
              <w:fldChar w:fldCharType="end"/>
            </w:r>
          </w:hyperlink>
        </w:p>
        <w:p w14:paraId="0D9702C0" w14:textId="2A7FF732" w:rsidR="00C42CD1" w:rsidRDefault="00C42CD1">
          <w:pPr>
            <w:pStyle w:val="Sommario3"/>
            <w:rPr>
              <w:rFonts w:eastAsiaTheme="minorEastAsia"/>
              <w:noProof/>
              <w:lang w:eastAsia="it-IT"/>
            </w:rPr>
          </w:pPr>
          <w:hyperlink w:anchor="_Toc126664588" w:history="1">
            <w:r w:rsidRPr="0046335B">
              <w:rPr>
                <w:rStyle w:val="Collegamentoipertestuale"/>
                <w:rFonts w:ascii="Calibri" w:eastAsia="Times New Roman" w:hAnsi="Calibri" w:cs="Times New Roman"/>
                <w:b/>
                <w:iCs/>
                <w:noProof/>
                <w:snapToGrid w:val="0"/>
                <w:lang w:eastAsia="it-IT"/>
              </w:rPr>
              <w:t>18-d) ≥ 0,1 % per le sostanze classificate come tossiche per la riproduzione (categorie 1A, 1B o 2) o per gli effetti sull’allattamento o attraverso l’allattamento</w:t>
            </w:r>
            <w:r>
              <w:rPr>
                <w:noProof/>
                <w:webHidden/>
              </w:rPr>
              <w:tab/>
            </w:r>
            <w:r>
              <w:rPr>
                <w:noProof/>
                <w:webHidden/>
              </w:rPr>
              <w:fldChar w:fldCharType="begin"/>
            </w:r>
            <w:r>
              <w:rPr>
                <w:noProof/>
                <w:webHidden/>
              </w:rPr>
              <w:instrText xml:space="preserve"> PAGEREF _Toc126664588 \h </w:instrText>
            </w:r>
            <w:r>
              <w:rPr>
                <w:noProof/>
                <w:webHidden/>
              </w:rPr>
            </w:r>
            <w:r>
              <w:rPr>
                <w:noProof/>
                <w:webHidden/>
              </w:rPr>
              <w:fldChar w:fldCharType="separate"/>
            </w:r>
            <w:r>
              <w:rPr>
                <w:noProof/>
                <w:webHidden/>
              </w:rPr>
              <w:t>12</w:t>
            </w:r>
            <w:r>
              <w:rPr>
                <w:noProof/>
                <w:webHidden/>
              </w:rPr>
              <w:fldChar w:fldCharType="end"/>
            </w:r>
          </w:hyperlink>
        </w:p>
        <w:p w14:paraId="755148CD" w14:textId="73791E75" w:rsidR="00C42CD1" w:rsidRDefault="00C42CD1">
          <w:pPr>
            <w:pStyle w:val="Sommario3"/>
            <w:rPr>
              <w:rFonts w:eastAsiaTheme="minorEastAsia"/>
              <w:noProof/>
              <w:lang w:eastAsia="it-IT"/>
            </w:rPr>
          </w:pPr>
          <w:hyperlink w:anchor="_Toc126664589" w:history="1">
            <w:r w:rsidRPr="0046335B">
              <w:rPr>
                <w:rStyle w:val="Collegamentoipertestuale"/>
                <w:rFonts w:ascii="Calibri" w:eastAsia="Times New Roman" w:hAnsi="Calibri" w:cs="Times New Roman"/>
                <w:b/>
                <w:iCs/>
                <w:noProof/>
                <w:snapToGrid w:val="0"/>
                <w:lang w:eastAsia="it-IT"/>
              </w:rPr>
              <w:t>19-e) almeno una sostanza in una concentrazione individuale ≥ 1 % in peso per le miscele non gassose e ≥ 0,2 % in volume per le miscele gassose:</w:t>
            </w:r>
            <w:r>
              <w:rPr>
                <w:noProof/>
                <w:webHidden/>
              </w:rPr>
              <w:tab/>
            </w:r>
            <w:r>
              <w:rPr>
                <w:noProof/>
                <w:webHidden/>
              </w:rPr>
              <w:fldChar w:fldCharType="begin"/>
            </w:r>
            <w:r>
              <w:rPr>
                <w:noProof/>
                <w:webHidden/>
              </w:rPr>
              <w:instrText xml:space="preserve"> PAGEREF _Toc126664589 \h </w:instrText>
            </w:r>
            <w:r>
              <w:rPr>
                <w:noProof/>
                <w:webHidden/>
              </w:rPr>
            </w:r>
            <w:r>
              <w:rPr>
                <w:noProof/>
                <w:webHidden/>
              </w:rPr>
              <w:fldChar w:fldCharType="separate"/>
            </w:r>
            <w:r>
              <w:rPr>
                <w:noProof/>
                <w:webHidden/>
              </w:rPr>
              <w:t>12</w:t>
            </w:r>
            <w:r>
              <w:rPr>
                <w:noProof/>
                <w:webHidden/>
              </w:rPr>
              <w:fldChar w:fldCharType="end"/>
            </w:r>
          </w:hyperlink>
        </w:p>
        <w:p w14:paraId="4A62E47F" w14:textId="0BD8E100" w:rsidR="00C42CD1" w:rsidRDefault="00C42CD1">
          <w:pPr>
            <w:pStyle w:val="Sommario3"/>
            <w:rPr>
              <w:rFonts w:eastAsiaTheme="minorEastAsia"/>
              <w:noProof/>
              <w:lang w:eastAsia="it-IT"/>
            </w:rPr>
          </w:pPr>
          <w:hyperlink w:anchor="_Toc126664590" w:history="1">
            <w:r w:rsidRPr="0046335B">
              <w:rPr>
                <w:rStyle w:val="Collegamentoipertestuale"/>
                <w:rFonts w:ascii="Calibri" w:eastAsia="Times New Roman" w:hAnsi="Calibri" w:cs="Times New Roman"/>
                <w:b/>
                <w:iCs/>
                <w:noProof/>
                <w:snapToGrid w:val="0"/>
                <w:lang w:eastAsia="it-IT"/>
              </w:rPr>
              <w:t>- classificata per altri pericoli per la salute o per l'ambiente; o</w:t>
            </w:r>
            <w:r>
              <w:rPr>
                <w:noProof/>
                <w:webHidden/>
              </w:rPr>
              <w:tab/>
            </w:r>
            <w:r>
              <w:rPr>
                <w:noProof/>
                <w:webHidden/>
              </w:rPr>
              <w:fldChar w:fldCharType="begin"/>
            </w:r>
            <w:r>
              <w:rPr>
                <w:noProof/>
                <w:webHidden/>
              </w:rPr>
              <w:instrText xml:space="preserve"> PAGEREF _Toc126664590 \h </w:instrText>
            </w:r>
            <w:r>
              <w:rPr>
                <w:noProof/>
                <w:webHidden/>
              </w:rPr>
            </w:r>
            <w:r>
              <w:rPr>
                <w:noProof/>
                <w:webHidden/>
              </w:rPr>
              <w:fldChar w:fldCharType="separate"/>
            </w:r>
            <w:r>
              <w:rPr>
                <w:noProof/>
                <w:webHidden/>
              </w:rPr>
              <w:t>12</w:t>
            </w:r>
            <w:r>
              <w:rPr>
                <w:noProof/>
                <w:webHidden/>
              </w:rPr>
              <w:fldChar w:fldCharType="end"/>
            </w:r>
          </w:hyperlink>
        </w:p>
        <w:p w14:paraId="4EE4B813" w14:textId="3F43187C" w:rsidR="00C42CD1" w:rsidRDefault="00C42CD1">
          <w:pPr>
            <w:pStyle w:val="Sommario3"/>
            <w:rPr>
              <w:rFonts w:eastAsiaTheme="minorEastAsia"/>
              <w:noProof/>
              <w:lang w:eastAsia="it-IT"/>
            </w:rPr>
          </w:pPr>
          <w:hyperlink w:anchor="_Toc126664591" w:history="1">
            <w:r w:rsidRPr="0046335B">
              <w:rPr>
                <w:rStyle w:val="Collegamentoipertestuale"/>
                <w:rFonts w:ascii="Calibri" w:eastAsia="Times New Roman" w:hAnsi="Calibri" w:cs="Times New Roman"/>
                <w:b/>
                <w:iCs/>
                <w:noProof/>
                <w:snapToGrid w:val="0"/>
                <w:lang w:eastAsia="it-IT"/>
              </w:rPr>
              <w:t>- per la quale valgono limiti comunitari di esposizione nei luoghi di lavoro</w:t>
            </w:r>
            <w:r>
              <w:rPr>
                <w:noProof/>
                <w:webHidden/>
              </w:rPr>
              <w:tab/>
            </w:r>
            <w:r>
              <w:rPr>
                <w:noProof/>
                <w:webHidden/>
              </w:rPr>
              <w:fldChar w:fldCharType="begin"/>
            </w:r>
            <w:r>
              <w:rPr>
                <w:noProof/>
                <w:webHidden/>
              </w:rPr>
              <w:instrText xml:space="preserve"> PAGEREF _Toc126664591 \h </w:instrText>
            </w:r>
            <w:r>
              <w:rPr>
                <w:noProof/>
                <w:webHidden/>
              </w:rPr>
            </w:r>
            <w:r>
              <w:rPr>
                <w:noProof/>
                <w:webHidden/>
              </w:rPr>
              <w:fldChar w:fldCharType="separate"/>
            </w:r>
            <w:r>
              <w:rPr>
                <w:noProof/>
                <w:webHidden/>
              </w:rPr>
              <w:t>12</w:t>
            </w:r>
            <w:r>
              <w:rPr>
                <w:noProof/>
                <w:webHidden/>
              </w:rPr>
              <w:fldChar w:fldCharType="end"/>
            </w:r>
          </w:hyperlink>
        </w:p>
        <w:p w14:paraId="377685DF" w14:textId="0515D022" w:rsidR="00C42CD1" w:rsidRDefault="00C42CD1">
          <w:pPr>
            <w:pStyle w:val="Sommario3"/>
            <w:rPr>
              <w:rFonts w:eastAsiaTheme="minorEastAsia"/>
              <w:noProof/>
              <w:lang w:eastAsia="it-IT"/>
            </w:rPr>
          </w:pPr>
          <w:hyperlink w:anchor="_Toc126664592" w:history="1">
            <w:r w:rsidRPr="0046335B">
              <w:rPr>
                <w:rStyle w:val="Collegamentoipertestuale"/>
                <w:rFonts w:ascii="Calibri" w:eastAsia="Times New Roman" w:hAnsi="Calibri" w:cs="Times New Roman"/>
                <w:b/>
                <w:iCs/>
                <w:noProof/>
                <w:snapToGrid w:val="0"/>
                <w:lang w:eastAsia="it-IT"/>
              </w:rPr>
              <w:t>VERIFICA DELLE SOSTANZE SVHC- RESTRIZIONI – AUTORIZZAZIONI - NOTIFICHE</w:t>
            </w:r>
            <w:r>
              <w:rPr>
                <w:noProof/>
                <w:webHidden/>
              </w:rPr>
              <w:tab/>
            </w:r>
            <w:r>
              <w:rPr>
                <w:noProof/>
                <w:webHidden/>
              </w:rPr>
              <w:fldChar w:fldCharType="begin"/>
            </w:r>
            <w:r>
              <w:rPr>
                <w:noProof/>
                <w:webHidden/>
              </w:rPr>
              <w:instrText xml:space="preserve"> PAGEREF _Toc126664592 \h </w:instrText>
            </w:r>
            <w:r>
              <w:rPr>
                <w:noProof/>
                <w:webHidden/>
              </w:rPr>
            </w:r>
            <w:r>
              <w:rPr>
                <w:noProof/>
                <w:webHidden/>
              </w:rPr>
              <w:fldChar w:fldCharType="separate"/>
            </w:r>
            <w:r>
              <w:rPr>
                <w:noProof/>
                <w:webHidden/>
              </w:rPr>
              <w:t>13</w:t>
            </w:r>
            <w:r>
              <w:rPr>
                <w:noProof/>
                <w:webHidden/>
              </w:rPr>
              <w:fldChar w:fldCharType="end"/>
            </w:r>
          </w:hyperlink>
        </w:p>
        <w:p w14:paraId="58FA951A" w14:textId="1186315B" w:rsidR="00C42CD1" w:rsidRDefault="00C42CD1">
          <w:pPr>
            <w:pStyle w:val="Sommario3"/>
            <w:rPr>
              <w:rFonts w:eastAsiaTheme="minorEastAsia"/>
              <w:noProof/>
              <w:lang w:eastAsia="it-IT"/>
            </w:rPr>
          </w:pPr>
          <w:hyperlink w:anchor="_Toc126664593" w:history="1">
            <w:r w:rsidRPr="0046335B">
              <w:rPr>
                <w:rStyle w:val="Collegamentoipertestuale"/>
                <w:rFonts w:ascii="Calibri" w:eastAsia="Times New Roman" w:hAnsi="Calibri" w:cs="Times New Roman"/>
                <w:b/>
                <w:iCs/>
                <w:noProof/>
                <w:snapToGrid w:val="0"/>
                <w:lang w:val="en-US" w:eastAsia="it-IT"/>
              </w:rPr>
              <w:t>20-Sostanze SVHC≥0,1%</w:t>
            </w:r>
            <w:r>
              <w:rPr>
                <w:noProof/>
                <w:webHidden/>
              </w:rPr>
              <w:tab/>
            </w:r>
            <w:r>
              <w:rPr>
                <w:noProof/>
                <w:webHidden/>
              </w:rPr>
              <w:fldChar w:fldCharType="begin"/>
            </w:r>
            <w:r>
              <w:rPr>
                <w:noProof/>
                <w:webHidden/>
              </w:rPr>
              <w:instrText xml:space="preserve"> PAGEREF _Toc126664593 \h </w:instrText>
            </w:r>
            <w:r>
              <w:rPr>
                <w:noProof/>
                <w:webHidden/>
              </w:rPr>
            </w:r>
            <w:r>
              <w:rPr>
                <w:noProof/>
                <w:webHidden/>
              </w:rPr>
              <w:fldChar w:fldCharType="separate"/>
            </w:r>
            <w:r>
              <w:rPr>
                <w:noProof/>
                <w:webHidden/>
              </w:rPr>
              <w:t>13</w:t>
            </w:r>
            <w:r>
              <w:rPr>
                <w:noProof/>
                <w:webHidden/>
              </w:rPr>
              <w:fldChar w:fldCharType="end"/>
            </w:r>
          </w:hyperlink>
        </w:p>
        <w:p w14:paraId="2036DF2A" w14:textId="6F3D2E8C" w:rsidR="00C42CD1" w:rsidRDefault="00C42CD1">
          <w:pPr>
            <w:pStyle w:val="Sommario3"/>
            <w:rPr>
              <w:rFonts w:eastAsiaTheme="minorEastAsia"/>
              <w:noProof/>
              <w:lang w:eastAsia="it-IT"/>
            </w:rPr>
          </w:pPr>
          <w:hyperlink w:anchor="_Toc126664594" w:history="1">
            <w:r w:rsidRPr="0046335B">
              <w:rPr>
                <w:rStyle w:val="Collegamentoipertestuale"/>
                <w:rFonts w:ascii="Calibri" w:eastAsia="Times New Roman" w:hAnsi="Calibri" w:cs="Times New Roman"/>
                <w:b/>
                <w:iCs/>
                <w:noProof/>
                <w:snapToGrid w:val="0"/>
                <w:lang w:eastAsia="it-IT"/>
              </w:rPr>
              <w:t>21- Sostanze incluse nell’allegato XIV (Autorizzazione)</w:t>
            </w:r>
            <w:r>
              <w:rPr>
                <w:noProof/>
                <w:webHidden/>
              </w:rPr>
              <w:tab/>
            </w:r>
            <w:r>
              <w:rPr>
                <w:noProof/>
                <w:webHidden/>
              </w:rPr>
              <w:fldChar w:fldCharType="begin"/>
            </w:r>
            <w:r>
              <w:rPr>
                <w:noProof/>
                <w:webHidden/>
              </w:rPr>
              <w:instrText xml:space="preserve"> PAGEREF _Toc126664594 \h </w:instrText>
            </w:r>
            <w:r>
              <w:rPr>
                <w:noProof/>
                <w:webHidden/>
              </w:rPr>
            </w:r>
            <w:r>
              <w:rPr>
                <w:noProof/>
                <w:webHidden/>
              </w:rPr>
              <w:fldChar w:fldCharType="separate"/>
            </w:r>
            <w:r>
              <w:rPr>
                <w:noProof/>
                <w:webHidden/>
              </w:rPr>
              <w:t>14</w:t>
            </w:r>
            <w:r>
              <w:rPr>
                <w:noProof/>
                <w:webHidden/>
              </w:rPr>
              <w:fldChar w:fldCharType="end"/>
            </w:r>
          </w:hyperlink>
        </w:p>
        <w:p w14:paraId="741C0421" w14:textId="50F013CD" w:rsidR="00C42CD1" w:rsidRDefault="00C42CD1">
          <w:pPr>
            <w:pStyle w:val="Sommario3"/>
            <w:rPr>
              <w:rFonts w:eastAsiaTheme="minorEastAsia"/>
              <w:noProof/>
              <w:lang w:eastAsia="it-IT"/>
            </w:rPr>
          </w:pPr>
          <w:hyperlink w:anchor="_Toc126664595" w:history="1">
            <w:r w:rsidRPr="0046335B">
              <w:rPr>
                <w:rStyle w:val="Collegamentoipertestuale"/>
                <w:rFonts w:ascii="Calibri" w:eastAsia="Times New Roman" w:hAnsi="Calibri" w:cs="Times New Roman"/>
                <w:b/>
                <w:iCs/>
                <w:noProof/>
                <w:snapToGrid w:val="0"/>
                <w:lang w:eastAsia="it-IT"/>
              </w:rPr>
              <w:t>22- Sostanze incluse nell’allegato XVII (Restrizioni)</w:t>
            </w:r>
            <w:r>
              <w:rPr>
                <w:noProof/>
                <w:webHidden/>
              </w:rPr>
              <w:tab/>
            </w:r>
            <w:r>
              <w:rPr>
                <w:noProof/>
                <w:webHidden/>
              </w:rPr>
              <w:fldChar w:fldCharType="begin"/>
            </w:r>
            <w:r>
              <w:rPr>
                <w:noProof/>
                <w:webHidden/>
              </w:rPr>
              <w:instrText xml:space="preserve"> PAGEREF _Toc126664595 \h </w:instrText>
            </w:r>
            <w:r>
              <w:rPr>
                <w:noProof/>
                <w:webHidden/>
              </w:rPr>
            </w:r>
            <w:r>
              <w:rPr>
                <w:noProof/>
                <w:webHidden/>
              </w:rPr>
              <w:fldChar w:fldCharType="separate"/>
            </w:r>
            <w:r>
              <w:rPr>
                <w:noProof/>
                <w:webHidden/>
              </w:rPr>
              <w:t>15</w:t>
            </w:r>
            <w:r>
              <w:rPr>
                <w:noProof/>
                <w:webHidden/>
              </w:rPr>
              <w:fldChar w:fldCharType="end"/>
            </w:r>
          </w:hyperlink>
        </w:p>
        <w:p w14:paraId="71D756D4" w14:textId="6421A727" w:rsidR="00C42CD1" w:rsidRDefault="00C42CD1">
          <w:pPr>
            <w:pStyle w:val="Sommario3"/>
            <w:rPr>
              <w:rFonts w:eastAsiaTheme="minorEastAsia"/>
              <w:noProof/>
              <w:lang w:eastAsia="it-IT"/>
            </w:rPr>
          </w:pPr>
          <w:hyperlink w:anchor="_Toc126664596" w:history="1">
            <w:r w:rsidRPr="0046335B">
              <w:rPr>
                <w:rStyle w:val="Collegamentoipertestuale"/>
                <w:rFonts w:ascii="Calibri" w:eastAsia="Times New Roman" w:hAnsi="Calibri" w:cs="Times New Roman"/>
                <w:b/>
                <w:iCs/>
                <w:noProof/>
                <w:snapToGrid w:val="0"/>
                <w:lang w:eastAsia="it-IT"/>
              </w:rPr>
              <w:t>23- Notifica delle sostanze SVHC presenti nell’articolo</w:t>
            </w:r>
            <w:r>
              <w:rPr>
                <w:noProof/>
                <w:webHidden/>
              </w:rPr>
              <w:tab/>
            </w:r>
            <w:r>
              <w:rPr>
                <w:noProof/>
                <w:webHidden/>
              </w:rPr>
              <w:fldChar w:fldCharType="begin"/>
            </w:r>
            <w:r>
              <w:rPr>
                <w:noProof/>
                <w:webHidden/>
              </w:rPr>
              <w:instrText xml:space="preserve"> PAGEREF _Toc126664596 \h </w:instrText>
            </w:r>
            <w:r>
              <w:rPr>
                <w:noProof/>
                <w:webHidden/>
              </w:rPr>
            </w:r>
            <w:r>
              <w:rPr>
                <w:noProof/>
                <w:webHidden/>
              </w:rPr>
              <w:fldChar w:fldCharType="separate"/>
            </w:r>
            <w:r>
              <w:rPr>
                <w:noProof/>
                <w:webHidden/>
              </w:rPr>
              <w:t>16</w:t>
            </w:r>
            <w:r>
              <w:rPr>
                <w:noProof/>
                <w:webHidden/>
              </w:rPr>
              <w:fldChar w:fldCharType="end"/>
            </w:r>
          </w:hyperlink>
        </w:p>
        <w:p w14:paraId="6D2AF222" w14:textId="11FEACD6" w:rsidR="00C42CD1" w:rsidRDefault="00C42CD1">
          <w:pPr>
            <w:pStyle w:val="Sommario3"/>
            <w:rPr>
              <w:rFonts w:eastAsiaTheme="minorEastAsia"/>
              <w:noProof/>
              <w:lang w:eastAsia="it-IT"/>
            </w:rPr>
          </w:pPr>
          <w:hyperlink w:anchor="_Toc126664597" w:history="1">
            <w:r w:rsidRPr="0046335B">
              <w:rPr>
                <w:rStyle w:val="Collegamentoipertestuale"/>
                <w:rFonts w:ascii="Calibri" w:eastAsia="Times New Roman" w:hAnsi="Calibri" w:cs="Times New Roman"/>
                <w:b/>
                <w:iCs/>
                <w:noProof/>
                <w:snapToGrid w:val="0"/>
                <w:lang w:eastAsia="it-IT"/>
              </w:rPr>
              <w:t>NOTIFICHE ALL’ECHA E ISS</w:t>
            </w:r>
            <w:r>
              <w:rPr>
                <w:noProof/>
                <w:webHidden/>
              </w:rPr>
              <w:tab/>
            </w:r>
            <w:r>
              <w:rPr>
                <w:noProof/>
                <w:webHidden/>
              </w:rPr>
              <w:fldChar w:fldCharType="begin"/>
            </w:r>
            <w:r>
              <w:rPr>
                <w:noProof/>
                <w:webHidden/>
              </w:rPr>
              <w:instrText xml:space="preserve"> PAGEREF _Toc126664597 \h </w:instrText>
            </w:r>
            <w:r>
              <w:rPr>
                <w:noProof/>
                <w:webHidden/>
              </w:rPr>
            </w:r>
            <w:r>
              <w:rPr>
                <w:noProof/>
                <w:webHidden/>
              </w:rPr>
              <w:fldChar w:fldCharType="separate"/>
            </w:r>
            <w:r>
              <w:rPr>
                <w:noProof/>
                <w:webHidden/>
              </w:rPr>
              <w:t>16</w:t>
            </w:r>
            <w:r>
              <w:rPr>
                <w:noProof/>
                <w:webHidden/>
              </w:rPr>
              <w:fldChar w:fldCharType="end"/>
            </w:r>
          </w:hyperlink>
        </w:p>
        <w:p w14:paraId="2397EA94" w14:textId="4F97712F" w:rsidR="00C42CD1" w:rsidRDefault="00C42CD1">
          <w:pPr>
            <w:pStyle w:val="Sommario3"/>
            <w:rPr>
              <w:rFonts w:eastAsiaTheme="minorEastAsia"/>
              <w:noProof/>
              <w:lang w:eastAsia="it-IT"/>
            </w:rPr>
          </w:pPr>
          <w:hyperlink w:anchor="_Toc126664598" w:history="1">
            <w:r w:rsidRPr="0046335B">
              <w:rPr>
                <w:rStyle w:val="Collegamentoipertestuale"/>
                <w:rFonts w:ascii="Calibri" w:eastAsia="Times New Roman" w:hAnsi="Calibri" w:cs="Times New Roman"/>
                <w:b/>
                <w:iCs/>
                <w:noProof/>
                <w:snapToGrid w:val="0"/>
                <w:lang w:eastAsia="it-IT"/>
              </w:rPr>
              <w:t>24- Notifica al database C&amp;L della classificazione</w:t>
            </w:r>
            <w:r>
              <w:rPr>
                <w:noProof/>
                <w:webHidden/>
              </w:rPr>
              <w:tab/>
            </w:r>
            <w:r>
              <w:rPr>
                <w:noProof/>
                <w:webHidden/>
              </w:rPr>
              <w:fldChar w:fldCharType="begin"/>
            </w:r>
            <w:r>
              <w:rPr>
                <w:noProof/>
                <w:webHidden/>
              </w:rPr>
              <w:instrText xml:space="preserve"> PAGEREF _Toc126664598 \h </w:instrText>
            </w:r>
            <w:r>
              <w:rPr>
                <w:noProof/>
                <w:webHidden/>
              </w:rPr>
            </w:r>
            <w:r>
              <w:rPr>
                <w:noProof/>
                <w:webHidden/>
              </w:rPr>
              <w:fldChar w:fldCharType="separate"/>
            </w:r>
            <w:r>
              <w:rPr>
                <w:noProof/>
                <w:webHidden/>
              </w:rPr>
              <w:t>16</w:t>
            </w:r>
            <w:r>
              <w:rPr>
                <w:noProof/>
                <w:webHidden/>
              </w:rPr>
              <w:fldChar w:fldCharType="end"/>
            </w:r>
          </w:hyperlink>
        </w:p>
        <w:p w14:paraId="160EFCB8" w14:textId="499B4EC9" w:rsidR="00C42CD1" w:rsidRDefault="00C42CD1">
          <w:pPr>
            <w:pStyle w:val="Sommario3"/>
            <w:rPr>
              <w:rFonts w:eastAsiaTheme="minorEastAsia"/>
              <w:noProof/>
              <w:lang w:eastAsia="it-IT"/>
            </w:rPr>
          </w:pPr>
          <w:hyperlink w:anchor="_Toc126664599" w:history="1">
            <w:r w:rsidRPr="0046335B">
              <w:rPr>
                <w:rStyle w:val="Collegamentoipertestuale"/>
                <w:rFonts w:ascii="Calibri" w:eastAsia="Times New Roman" w:hAnsi="Calibri" w:cs="Times New Roman"/>
                <w:b/>
                <w:iCs/>
                <w:noProof/>
                <w:snapToGrid w:val="0"/>
                <w:lang w:eastAsia="it-IT"/>
              </w:rPr>
              <w:t>25- Notifica al database di ISS Archivio preparati pericolosi</w:t>
            </w:r>
            <w:r>
              <w:rPr>
                <w:noProof/>
                <w:webHidden/>
              </w:rPr>
              <w:tab/>
            </w:r>
            <w:r>
              <w:rPr>
                <w:noProof/>
                <w:webHidden/>
              </w:rPr>
              <w:fldChar w:fldCharType="begin"/>
            </w:r>
            <w:r>
              <w:rPr>
                <w:noProof/>
                <w:webHidden/>
              </w:rPr>
              <w:instrText xml:space="preserve"> PAGEREF _Toc126664599 \h </w:instrText>
            </w:r>
            <w:r>
              <w:rPr>
                <w:noProof/>
                <w:webHidden/>
              </w:rPr>
            </w:r>
            <w:r>
              <w:rPr>
                <w:noProof/>
                <w:webHidden/>
              </w:rPr>
              <w:fldChar w:fldCharType="separate"/>
            </w:r>
            <w:r>
              <w:rPr>
                <w:noProof/>
                <w:webHidden/>
              </w:rPr>
              <w:t>17</w:t>
            </w:r>
            <w:r>
              <w:rPr>
                <w:noProof/>
                <w:webHidden/>
              </w:rPr>
              <w:fldChar w:fldCharType="end"/>
            </w:r>
          </w:hyperlink>
        </w:p>
        <w:p w14:paraId="5801E739" w14:textId="68B75628" w:rsidR="00C42CD1" w:rsidRDefault="00C42CD1">
          <w:pPr>
            <w:pStyle w:val="Sommario3"/>
            <w:rPr>
              <w:rFonts w:eastAsiaTheme="minorEastAsia"/>
              <w:noProof/>
              <w:lang w:eastAsia="it-IT"/>
            </w:rPr>
          </w:pPr>
          <w:hyperlink w:anchor="_Toc126664600" w:history="1">
            <w:r w:rsidRPr="0046335B">
              <w:rPr>
                <w:rStyle w:val="Collegamentoipertestuale"/>
                <w:rFonts w:ascii="Calibri" w:eastAsia="Times New Roman" w:hAnsi="Calibri" w:cs="Times New Roman"/>
                <w:b/>
                <w:iCs/>
                <w:noProof/>
                <w:snapToGrid w:val="0"/>
                <w:lang w:eastAsia="it-IT"/>
              </w:rPr>
              <w:t>26- Notifica al database EU Centro Antiveleni PCN (Poison Center Notification)</w:t>
            </w:r>
            <w:r>
              <w:rPr>
                <w:noProof/>
                <w:webHidden/>
              </w:rPr>
              <w:tab/>
            </w:r>
            <w:r>
              <w:rPr>
                <w:noProof/>
                <w:webHidden/>
              </w:rPr>
              <w:fldChar w:fldCharType="begin"/>
            </w:r>
            <w:r>
              <w:rPr>
                <w:noProof/>
                <w:webHidden/>
              </w:rPr>
              <w:instrText xml:space="preserve"> PAGEREF _Toc126664600 \h </w:instrText>
            </w:r>
            <w:r>
              <w:rPr>
                <w:noProof/>
                <w:webHidden/>
              </w:rPr>
            </w:r>
            <w:r>
              <w:rPr>
                <w:noProof/>
                <w:webHidden/>
              </w:rPr>
              <w:fldChar w:fldCharType="separate"/>
            </w:r>
            <w:r>
              <w:rPr>
                <w:noProof/>
                <w:webHidden/>
              </w:rPr>
              <w:t>17</w:t>
            </w:r>
            <w:r>
              <w:rPr>
                <w:noProof/>
                <w:webHidden/>
              </w:rPr>
              <w:fldChar w:fldCharType="end"/>
            </w:r>
          </w:hyperlink>
        </w:p>
        <w:p w14:paraId="5C106161" w14:textId="009BD5C3" w:rsidR="00C42CD1" w:rsidRDefault="00C42CD1">
          <w:pPr>
            <w:pStyle w:val="Sommario3"/>
            <w:rPr>
              <w:rFonts w:eastAsiaTheme="minorEastAsia"/>
              <w:noProof/>
              <w:lang w:eastAsia="it-IT"/>
            </w:rPr>
          </w:pPr>
          <w:hyperlink w:anchor="_Toc126664601" w:history="1">
            <w:r w:rsidRPr="0046335B">
              <w:rPr>
                <w:rStyle w:val="Collegamentoipertestuale"/>
                <w:rFonts w:ascii="Calibri" w:eastAsia="Times New Roman" w:hAnsi="Calibri" w:cs="Times New Roman"/>
                <w:b/>
                <w:iCs/>
                <w:noProof/>
                <w:snapToGrid w:val="0"/>
                <w:lang w:eastAsia="it-IT"/>
              </w:rPr>
              <w:t>27- UFI (Unique Formula Identifier)</w:t>
            </w:r>
            <w:r>
              <w:rPr>
                <w:noProof/>
                <w:webHidden/>
              </w:rPr>
              <w:tab/>
            </w:r>
            <w:r>
              <w:rPr>
                <w:noProof/>
                <w:webHidden/>
              </w:rPr>
              <w:fldChar w:fldCharType="begin"/>
            </w:r>
            <w:r>
              <w:rPr>
                <w:noProof/>
                <w:webHidden/>
              </w:rPr>
              <w:instrText xml:space="preserve"> PAGEREF _Toc126664601 \h </w:instrText>
            </w:r>
            <w:r>
              <w:rPr>
                <w:noProof/>
                <w:webHidden/>
              </w:rPr>
            </w:r>
            <w:r>
              <w:rPr>
                <w:noProof/>
                <w:webHidden/>
              </w:rPr>
              <w:fldChar w:fldCharType="separate"/>
            </w:r>
            <w:r>
              <w:rPr>
                <w:noProof/>
                <w:webHidden/>
              </w:rPr>
              <w:t>18</w:t>
            </w:r>
            <w:r>
              <w:rPr>
                <w:noProof/>
                <w:webHidden/>
              </w:rPr>
              <w:fldChar w:fldCharType="end"/>
            </w:r>
          </w:hyperlink>
        </w:p>
        <w:p w14:paraId="7B74A0C0" w14:textId="41022C95" w:rsidR="00C42CD1" w:rsidRDefault="00C42CD1">
          <w:pPr>
            <w:pStyle w:val="Sommario3"/>
            <w:rPr>
              <w:rFonts w:eastAsiaTheme="minorEastAsia"/>
              <w:noProof/>
              <w:lang w:eastAsia="it-IT"/>
            </w:rPr>
          </w:pPr>
          <w:hyperlink w:anchor="_Toc126664602" w:history="1">
            <w:r w:rsidRPr="0046335B">
              <w:rPr>
                <w:rStyle w:val="Collegamentoipertestuale"/>
                <w:rFonts w:ascii="Calibri" w:eastAsia="Times New Roman" w:hAnsi="Calibri" w:cs="Times New Roman"/>
                <w:b/>
                <w:iCs/>
                <w:noProof/>
                <w:snapToGrid w:val="0"/>
                <w:lang w:eastAsia="it-IT"/>
              </w:rPr>
              <w:t>OBBLIGO DELLA CONSERVAZIONE DELLE INFORMAZIONI</w:t>
            </w:r>
            <w:r>
              <w:rPr>
                <w:noProof/>
                <w:webHidden/>
              </w:rPr>
              <w:tab/>
            </w:r>
            <w:r>
              <w:rPr>
                <w:noProof/>
                <w:webHidden/>
              </w:rPr>
              <w:fldChar w:fldCharType="begin"/>
            </w:r>
            <w:r>
              <w:rPr>
                <w:noProof/>
                <w:webHidden/>
              </w:rPr>
              <w:instrText xml:space="preserve"> PAGEREF _Toc126664602 \h </w:instrText>
            </w:r>
            <w:r>
              <w:rPr>
                <w:noProof/>
                <w:webHidden/>
              </w:rPr>
            </w:r>
            <w:r>
              <w:rPr>
                <w:noProof/>
                <w:webHidden/>
              </w:rPr>
              <w:fldChar w:fldCharType="separate"/>
            </w:r>
            <w:r>
              <w:rPr>
                <w:noProof/>
                <w:webHidden/>
              </w:rPr>
              <w:t>18</w:t>
            </w:r>
            <w:r>
              <w:rPr>
                <w:noProof/>
                <w:webHidden/>
              </w:rPr>
              <w:fldChar w:fldCharType="end"/>
            </w:r>
          </w:hyperlink>
        </w:p>
        <w:p w14:paraId="4447CFC6" w14:textId="3C407DE2" w:rsidR="00C42CD1" w:rsidRDefault="00C42CD1">
          <w:pPr>
            <w:pStyle w:val="Sommario3"/>
            <w:rPr>
              <w:rFonts w:eastAsiaTheme="minorEastAsia"/>
              <w:noProof/>
              <w:lang w:eastAsia="it-IT"/>
            </w:rPr>
          </w:pPr>
          <w:hyperlink w:anchor="_Toc126664603" w:history="1">
            <w:r w:rsidRPr="0046335B">
              <w:rPr>
                <w:rStyle w:val="Collegamentoipertestuale"/>
                <w:rFonts w:ascii="Calibri" w:eastAsia="Times New Roman" w:hAnsi="Calibri" w:cs="Times New Roman"/>
                <w:b/>
                <w:iCs/>
                <w:noProof/>
                <w:snapToGrid w:val="0"/>
                <w:lang w:eastAsia="it-IT"/>
              </w:rPr>
              <w:t>28- Obbligo di conservare le informazioni e richieste di informazioni</w:t>
            </w:r>
            <w:r>
              <w:rPr>
                <w:noProof/>
                <w:webHidden/>
              </w:rPr>
              <w:tab/>
            </w:r>
            <w:r>
              <w:rPr>
                <w:noProof/>
                <w:webHidden/>
              </w:rPr>
              <w:fldChar w:fldCharType="begin"/>
            </w:r>
            <w:r>
              <w:rPr>
                <w:noProof/>
                <w:webHidden/>
              </w:rPr>
              <w:instrText xml:space="preserve"> PAGEREF _Toc126664603 \h </w:instrText>
            </w:r>
            <w:r>
              <w:rPr>
                <w:noProof/>
                <w:webHidden/>
              </w:rPr>
            </w:r>
            <w:r>
              <w:rPr>
                <w:noProof/>
                <w:webHidden/>
              </w:rPr>
              <w:fldChar w:fldCharType="separate"/>
            </w:r>
            <w:r>
              <w:rPr>
                <w:noProof/>
                <w:webHidden/>
              </w:rPr>
              <w:t>18</w:t>
            </w:r>
            <w:r>
              <w:rPr>
                <w:noProof/>
                <w:webHidden/>
              </w:rPr>
              <w:fldChar w:fldCharType="end"/>
            </w:r>
          </w:hyperlink>
        </w:p>
        <w:p w14:paraId="11FAB9AC" w14:textId="45204487" w:rsidR="00C42CD1" w:rsidRDefault="00C42CD1">
          <w:pPr>
            <w:pStyle w:val="Sommario3"/>
            <w:rPr>
              <w:rFonts w:eastAsiaTheme="minorEastAsia"/>
              <w:noProof/>
              <w:lang w:eastAsia="it-IT"/>
            </w:rPr>
          </w:pPr>
          <w:hyperlink w:anchor="_Toc126664604" w:history="1">
            <w:r w:rsidRPr="0046335B">
              <w:rPr>
                <w:rStyle w:val="Collegamentoipertestuale"/>
                <w:rFonts w:ascii="Calibri" w:eastAsia="Times New Roman" w:hAnsi="Calibri" w:cs="Times New Roman"/>
                <w:b/>
                <w:iCs/>
                <w:noProof/>
                <w:snapToGrid w:val="0"/>
                <w:lang w:eastAsia="it-IT"/>
              </w:rPr>
              <w:t>29- Obbligo di conservare le informazioni e richieste di informazioni</w:t>
            </w:r>
            <w:r>
              <w:rPr>
                <w:noProof/>
                <w:webHidden/>
              </w:rPr>
              <w:tab/>
            </w:r>
            <w:r>
              <w:rPr>
                <w:noProof/>
                <w:webHidden/>
              </w:rPr>
              <w:fldChar w:fldCharType="begin"/>
            </w:r>
            <w:r>
              <w:rPr>
                <w:noProof/>
                <w:webHidden/>
              </w:rPr>
              <w:instrText xml:space="preserve"> PAGEREF _Toc126664604 \h </w:instrText>
            </w:r>
            <w:r>
              <w:rPr>
                <w:noProof/>
                <w:webHidden/>
              </w:rPr>
            </w:r>
            <w:r>
              <w:rPr>
                <w:noProof/>
                <w:webHidden/>
              </w:rPr>
              <w:fldChar w:fldCharType="separate"/>
            </w:r>
            <w:r>
              <w:rPr>
                <w:noProof/>
                <w:webHidden/>
              </w:rPr>
              <w:t>19</w:t>
            </w:r>
            <w:r>
              <w:rPr>
                <w:noProof/>
                <w:webHidden/>
              </w:rPr>
              <w:fldChar w:fldCharType="end"/>
            </w:r>
          </w:hyperlink>
        </w:p>
        <w:p w14:paraId="5AB1ADAF" w14:textId="58103675" w:rsidR="00C42CD1" w:rsidRDefault="00C42CD1">
          <w:pPr>
            <w:pStyle w:val="Sommario3"/>
            <w:rPr>
              <w:rFonts w:eastAsiaTheme="minorEastAsia"/>
              <w:noProof/>
              <w:lang w:eastAsia="it-IT"/>
            </w:rPr>
          </w:pPr>
          <w:hyperlink w:anchor="_Toc126664605" w:history="1">
            <w:r w:rsidRPr="0046335B">
              <w:rPr>
                <w:rStyle w:val="Collegamentoipertestuale"/>
                <w:rFonts w:ascii="Calibri" w:eastAsia="Times New Roman" w:hAnsi="Calibri" w:cs="Times New Roman"/>
                <w:b/>
                <w:iCs/>
                <w:noProof/>
                <w:snapToGrid w:val="0"/>
                <w:lang w:eastAsia="it-IT"/>
              </w:rPr>
              <w:t>NOTIFICA PREVISTA DALLA DIRETTIVA RIFIUTI (WFD)</w:t>
            </w:r>
            <w:r>
              <w:rPr>
                <w:noProof/>
                <w:webHidden/>
              </w:rPr>
              <w:tab/>
            </w:r>
            <w:r>
              <w:rPr>
                <w:noProof/>
                <w:webHidden/>
              </w:rPr>
              <w:fldChar w:fldCharType="begin"/>
            </w:r>
            <w:r>
              <w:rPr>
                <w:noProof/>
                <w:webHidden/>
              </w:rPr>
              <w:instrText xml:space="preserve"> PAGEREF _Toc126664605 \h </w:instrText>
            </w:r>
            <w:r>
              <w:rPr>
                <w:noProof/>
                <w:webHidden/>
              </w:rPr>
            </w:r>
            <w:r>
              <w:rPr>
                <w:noProof/>
                <w:webHidden/>
              </w:rPr>
              <w:fldChar w:fldCharType="separate"/>
            </w:r>
            <w:r>
              <w:rPr>
                <w:noProof/>
                <w:webHidden/>
              </w:rPr>
              <w:t>19</w:t>
            </w:r>
            <w:r>
              <w:rPr>
                <w:noProof/>
                <w:webHidden/>
              </w:rPr>
              <w:fldChar w:fldCharType="end"/>
            </w:r>
          </w:hyperlink>
        </w:p>
        <w:p w14:paraId="6D61073C" w14:textId="7F6EE00C" w:rsidR="00C42CD1" w:rsidRDefault="00C42CD1">
          <w:pPr>
            <w:pStyle w:val="Sommario3"/>
            <w:rPr>
              <w:rFonts w:eastAsiaTheme="minorEastAsia"/>
              <w:noProof/>
              <w:lang w:eastAsia="it-IT"/>
            </w:rPr>
          </w:pPr>
          <w:hyperlink w:anchor="_Toc126664606" w:history="1">
            <w:r w:rsidRPr="0046335B">
              <w:rPr>
                <w:rStyle w:val="Collegamentoipertestuale"/>
                <w:rFonts w:ascii="Calibri" w:eastAsia="Times New Roman" w:hAnsi="Calibri" w:cs="Times New Roman"/>
                <w:b/>
                <w:iCs/>
                <w:noProof/>
                <w:snapToGrid w:val="0"/>
                <w:lang w:eastAsia="it-IT"/>
              </w:rPr>
              <w:t>30- Database SCIP</w:t>
            </w:r>
            <w:r>
              <w:rPr>
                <w:noProof/>
                <w:webHidden/>
              </w:rPr>
              <w:tab/>
            </w:r>
            <w:r>
              <w:rPr>
                <w:noProof/>
                <w:webHidden/>
              </w:rPr>
              <w:fldChar w:fldCharType="begin"/>
            </w:r>
            <w:r>
              <w:rPr>
                <w:noProof/>
                <w:webHidden/>
              </w:rPr>
              <w:instrText xml:space="preserve"> PAGEREF _Toc126664606 \h </w:instrText>
            </w:r>
            <w:r>
              <w:rPr>
                <w:noProof/>
                <w:webHidden/>
              </w:rPr>
            </w:r>
            <w:r>
              <w:rPr>
                <w:noProof/>
                <w:webHidden/>
              </w:rPr>
              <w:fldChar w:fldCharType="separate"/>
            </w:r>
            <w:r>
              <w:rPr>
                <w:noProof/>
                <w:webHidden/>
              </w:rPr>
              <w:t>19</w:t>
            </w:r>
            <w:r>
              <w:rPr>
                <w:noProof/>
                <w:webHidden/>
              </w:rPr>
              <w:fldChar w:fldCharType="end"/>
            </w:r>
          </w:hyperlink>
        </w:p>
        <w:p w14:paraId="3E5F81E2" w14:textId="07A06C4B" w:rsidR="00C42CD1" w:rsidRDefault="00C42CD1">
          <w:pPr>
            <w:pStyle w:val="Sommario3"/>
            <w:rPr>
              <w:rFonts w:eastAsiaTheme="minorEastAsia"/>
              <w:noProof/>
              <w:lang w:eastAsia="it-IT"/>
            </w:rPr>
          </w:pPr>
          <w:hyperlink w:anchor="_Toc126664607" w:history="1">
            <w:r w:rsidRPr="0046335B">
              <w:rPr>
                <w:rStyle w:val="Collegamentoipertestuale"/>
                <w:rFonts w:ascii="Calibri" w:eastAsia="Times New Roman" w:hAnsi="Calibri" w:cs="Times New Roman"/>
                <w:b/>
                <w:iCs/>
                <w:caps/>
                <w:noProof/>
                <w:snapToGrid w:val="0"/>
                <w:lang w:eastAsia="it-IT"/>
              </w:rPr>
              <w:t>Conclusioni della valutazione reach e clp</w:t>
            </w:r>
            <w:r>
              <w:rPr>
                <w:noProof/>
                <w:webHidden/>
              </w:rPr>
              <w:tab/>
            </w:r>
            <w:r>
              <w:rPr>
                <w:noProof/>
                <w:webHidden/>
              </w:rPr>
              <w:fldChar w:fldCharType="begin"/>
            </w:r>
            <w:r>
              <w:rPr>
                <w:noProof/>
                <w:webHidden/>
              </w:rPr>
              <w:instrText xml:space="preserve"> PAGEREF _Toc126664607 \h </w:instrText>
            </w:r>
            <w:r>
              <w:rPr>
                <w:noProof/>
                <w:webHidden/>
              </w:rPr>
            </w:r>
            <w:r>
              <w:rPr>
                <w:noProof/>
                <w:webHidden/>
              </w:rPr>
              <w:fldChar w:fldCharType="separate"/>
            </w:r>
            <w:r>
              <w:rPr>
                <w:noProof/>
                <w:webHidden/>
              </w:rPr>
              <w:t>19</w:t>
            </w:r>
            <w:r>
              <w:rPr>
                <w:noProof/>
                <w:webHidden/>
              </w:rPr>
              <w:fldChar w:fldCharType="end"/>
            </w:r>
          </w:hyperlink>
        </w:p>
        <w:p w14:paraId="710682F5" w14:textId="1BA0BF28" w:rsidR="00C42CD1" w:rsidRDefault="00C42CD1">
          <w:pPr>
            <w:pStyle w:val="Sommario3"/>
            <w:rPr>
              <w:rFonts w:eastAsiaTheme="minorEastAsia"/>
              <w:noProof/>
              <w:lang w:eastAsia="it-IT"/>
            </w:rPr>
          </w:pPr>
          <w:hyperlink w:anchor="_Toc126664608" w:history="1">
            <w:r w:rsidRPr="0046335B">
              <w:rPr>
                <w:rStyle w:val="Collegamentoipertestuale"/>
                <w:rFonts w:ascii="Calibri" w:eastAsia="Times New Roman" w:hAnsi="Calibri" w:cs="Times New Roman"/>
                <w:b/>
                <w:iCs/>
                <w:caps/>
                <w:noProof/>
                <w:snapToGrid w:val="0"/>
                <w:lang w:eastAsia="it-IT"/>
              </w:rPr>
              <w:t>Acronimi</w:t>
            </w:r>
            <w:r>
              <w:rPr>
                <w:noProof/>
                <w:webHidden/>
              </w:rPr>
              <w:tab/>
            </w:r>
            <w:r>
              <w:rPr>
                <w:noProof/>
                <w:webHidden/>
              </w:rPr>
              <w:fldChar w:fldCharType="begin"/>
            </w:r>
            <w:r>
              <w:rPr>
                <w:noProof/>
                <w:webHidden/>
              </w:rPr>
              <w:instrText xml:space="preserve"> PAGEREF _Toc126664608 \h </w:instrText>
            </w:r>
            <w:r>
              <w:rPr>
                <w:noProof/>
                <w:webHidden/>
              </w:rPr>
            </w:r>
            <w:r>
              <w:rPr>
                <w:noProof/>
                <w:webHidden/>
              </w:rPr>
              <w:fldChar w:fldCharType="separate"/>
            </w:r>
            <w:r>
              <w:rPr>
                <w:noProof/>
                <w:webHidden/>
              </w:rPr>
              <w:t>20</w:t>
            </w:r>
            <w:r>
              <w:rPr>
                <w:noProof/>
                <w:webHidden/>
              </w:rPr>
              <w:fldChar w:fldCharType="end"/>
            </w:r>
          </w:hyperlink>
        </w:p>
        <w:p w14:paraId="774BE2ED" w14:textId="22AD3311" w:rsidR="001F134A" w:rsidRDefault="001F134A" w:rsidP="085B2EC0">
          <w:pPr>
            <w:keepNext/>
            <w:spacing w:before="120" w:after="80" w:line="264" w:lineRule="auto"/>
            <w:rPr>
              <w:sz w:val="20"/>
              <w:szCs w:val="20"/>
            </w:rPr>
          </w:pPr>
          <w:r w:rsidRPr="085B2EC0">
            <w:rPr>
              <w:b/>
              <w:bCs/>
              <w:sz w:val="20"/>
              <w:szCs w:val="20"/>
            </w:rPr>
            <w:fldChar w:fldCharType="end"/>
          </w:r>
        </w:p>
        <w:bookmarkStart w:id="0" w:name="_Toc57192708" w:displacedByCustomXml="next"/>
      </w:sdtContent>
    </w:sdt>
    <w:p w14:paraId="19741C17" w14:textId="7E34569B" w:rsidR="001F134A" w:rsidRDefault="001F134A" w:rsidP="085B2EC0">
      <w:pPr>
        <w:keepNext/>
        <w:spacing w:before="120" w:after="80" w:line="264" w:lineRule="auto"/>
        <w:jc w:val="both"/>
        <w:outlineLvl w:val="2"/>
        <w:rPr>
          <w:rFonts w:ascii="Calibri" w:eastAsia="Times New Roman" w:hAnsi="Calibri" w:cs="Times New Roman"/>
          <w:b/>
          <w:bCs/>
          <w:snapToGrid w:val="0"/>
          <w:sz w:val="24"/>
          <w:szCs w:val="24"/>
          <w:lang w:eastAsia="it-IT"/>
        </w:rPr>
      </w:pPr>
      <w:bookmarkStart w:id="1" w:name="_Toc126664557"/>
      <w:r w:rsidRPr="085B2EC0">
        <w:rPr>
          <w:rFonts w:ascii="Calibri" w:eastAsia="Times New Roman" w:hAnsi="Calibri" w:cs="Times New Roman"/>
          <w:b/>
          <w:bCs/>
          <w:snapToGrid w:val="0"/>
          <w:sz w:val="24"/>
          <w:szCs w:val="24"/>
          <w:lang w:eastAsia="it-IT"/>
        </w:rPr>
        <w:t>Premessa</w:t>
      </w:r>
      <w:bookmarkEnd w:id="0"/>
      <w:bookmarkEnd w:id="1"/>
    </w:p>
    <w:p w14:paraId="16666C0F" w14:textId="03109EF0" w:rsidR="001F134A" w:rsidRPr="003E0A25" w:rsidRDefault="001F134A" w:rsidP="003E0A25">
      <w:pPr>
        <w:spacing w:before="80" w:after="120" w:line="264" w:lineRule="auto"/>
        <w:jc w:val="both"/>
        <w:rPr>
          <w:rFonts w:ascii="Calibri" w:eastAsia="Times New Roman" w:hAnsi="Calibri" w:cs="Arial"/>
          <w:i/>
          <w:iCs/>
          <w:color w:val="4472C4" w:themeColor="accent1"/>
          <w:lang w:eastAsia="it-IT"/>
        </w:rPr>
      </w:pPr>
      <w:r w:rsidRPr="003E0A25">
        <w:rPr>
          <w:rFonts w:ascii="Calibri" w:eastAsia="Times New Roman" w:hAnsi="Calibri" w:cs="Arial"/>
          <w:i/>
          <w:iCs/>
          <w:color w:val="4472C4" w:themeColor="accent1"/>
          <w:lang w:eastAsia="it-IT"/>
        </w:rPr>
        <w:t xml:space="preserve">Le valutazioni di seguito riportate sono state effettuate sulla base delle informazioni disponibili, è responsabilità del produttore del EOW, raccogliere </w:t>
      </w:r>
      <w:r w:rsidR="003E0A25" w:rsidRPr="003E0A25">
        <w:rPr>
          <w:rFonts w:ascii="Calibri" w:eastAsia="Times New Roman" w:hAnsi="Calibri" w:cs="Arial"/>
          <w:i/>
          <w:iCs/>
          <w:color w:val="4472C4" w:themeColor="accent1"/>
          <w:lang w:eastAsia="it-IT"/>
        </w:rPr>
        <w:t xml:space="preserve">ed aggiornare se necessario, </w:t>
      </w:r>
      <w:r w:rsidRPr="003E0A25">
        <w:rPr>
          <w:rFonts w:ascii="Calibri" w:eastAsia="Times New Roman" w:hAnsi="Calibri" w:cs="Arial"/>
          <w:i/>
          <w:iCs/>
          <w:color w:val="4472C4" w:themeColor="accent1"/>
          <w:lang w:eastAsia="it-IT"/>
        </w:rPr>
        <w:t xml:space="preserve">le informazioni utili alle valutazioni e tenere traccia delle stesse </w:t>
      </w:r>
      <w:r w:rsidR="003E0A25" w:rsidRPr="003E0A25">
        <w:rPr>
          <w:rFonts w:ascii="Calibri" w:eastAsia="Times New Roman" w:hAnsi="Calibri" w:cs="Arial"/>
          <w:i/>
          <w:iCs/>
          <w:color w:val="4472C4" w:themeColor="accent1"/>
          <w:lang w:eastAsia="it-IT"/>
        </w:rPr>
        <w:t>mettendole a</w:t>
      </w:r>
      <w:r w:rsidRPr="003E0A25">
        <w:rPr>
          <w:rFonts w:ascii="Calibri" w:eastAsia="Times New Roman" w:hAnsi="Calibri" w:cs="Arial"/>
          <w:i/>
          <w:iCs/>
          <w:color w:val="4472C4" w:themeColor="accent1"/>
          <w:lang w:eastAsia="it-IT"/>
        </w:rPr>
        <w:t xml:space="preserve"> disposizione </w:t>
      </w:r>
      <w:r w:rsidR="003E0A25" w:rsidRPr="003E0A25">
        <w:rPr>
          <w:rFonts w:ascii="Calibri" w:eastAsia="Times New Roman" w:hAnsi="Calibri" w:cs="Arial"/>
          <w:i/>
          <w:iCs/>
          <w:color w:val="4472C4" w:themeColor="accent1"/>
          <w:lang w:eastAsia="it-IT"/>
        </w:rPr>
        <w:t>de</w:t>
      </w:r>
      <w:r w:rsidRPr="003E0A25">
        <w:rPr>
          <w:rFonts w:ascii="Calibri" w:eastAsia="Times New Roman" w:hAnsi="Calibri" w:cs="Arial"/>
          <w:i/>
          <w:iCs/>
          <w:color w:val="4472C4" w:themeColor="accent1"/>
          <w:lang w:eastAsia="it-IT"/>
        </w:rPr>
        <w:t>gli Enti di vigilanza</w:t>
      </w:r>
      <w:r w:rsidR="003E0A25" w:rsidRPr="003E0A25">
        <w:rPr>
          <w:rFonts w:ascii="Calibri" w:eastAsia="Times New Roman" w:hAnsi="Calibri" w:cs="Arial"/>
          <w:i/>
          <w:iCs/>
          <w:color w:val="4472C4" w:themeColor="accent1"/>
          <w:lang w:eastAsia="it-IT"/>
        </w:rPr>
        <w:t>, se richiesti.</w:t>
      </w:r>
    </w:p>
    <w:p w14:paraId="4DDA771D" w14:textId="2A8FCE87" w:rsidR="001F2B93" w:rsidRPr="00E25F9F" w:rsidRDefault="001F134A" w:rsidP="00C20F66">
      <w:pPr>
        <w:keepNext/>
        <w:shd w:val="clear" w:color="auto" w:fill="A8D08D" w:themeFill="accent6" w:themeFillTint="99"/>
        <w:spacing w:before="120" w:after="80" w:line="264" w:lineRule="auto"/>
        <w:jc w:val="both"/>
        <w:outlineLvl w:val="2"/>
        <w:rPr>
          <w:rFonts w:ascii="Calibri" w:eastAsia="Times New Roman" w:hAnsi="Calibri" w:cs="Times New Roman"/>
          <w:b/>
          <w:iCs/>
          <w:caps/>
          <w:snapToGrid w:val="0"/>
          <w:sz w:val="24"/>
          <w:szCs w:val="20"/>
          <w:lang w:eastAsia="it-IT"/>
        </w:rPr>
      </w:pPr>
      <w:bookmarkStart w:id="2" w:name="_Toc126664558"/>
      <w:r w:rsidRPr="00E25F9F">
        <w:rPr>
          <w:rFonts w:ascii="Calibri" w:eastAsia="Times New Roman" w:hAnsi="Calibri" w:cs="Times New Roman"/>
          <w:b/>
          <w:iCs/>
          <w:caps/>
          <w:snapToGrid w:val="0"/>
          <w:sz w:val="24"/>
          <w:szCs w:val="20"/>
          <w:lang w:eastAsia="it-IT"/>
        </w:rPr>
        <w:t>Valutazione POPs</w:t>
      </w:r>
      <w:bookmarkEnd w:id="2"/>
    </w:p>
    <w:p w14:paraId="0FB3D82D" w14:textId="74BD7ED9" w:rsidR="00ED1686" w:rsidRPr="00B952B4" w:rsidRDefault="00ED1686" w:rsidP="00ED1686">
      <w:pPr>
        <w:spacing w:before="80" w:after="120" w:line="264" w:lineRule="auto"/>
        <w:jc w:val="both"/>
        <w:rPr>
          <w:rFonts w:ascii="Calibri" w:eastAsia="Times New Roman" w:hAnsi="Calibri" w:cs="Times New Roman"/>
          <w:b/>
          <w:iCs/>
          <w:snapToGrid w:val="0"/>
          <w:color w:val="4472C4" w:themeColor="accent1"/>
          <w:sz w:val="24"/>
          <w:szCs w:val="20"/>
          <w:lang w:eastAsia="it-IT"/>
        </w:rPr>
      </w:pPr>
      <w:r w:rsidRPr="085B2EC0">
        <w:rPr>
          <w:rFonts w:ascii="Calibri" w:eastAsia="Times New Roman" w:hAnsi="Calibri" w:cs="Arial"/>
          <w:i/>
          <w:iCs/>
          <w:color w:val="4472C4" w:themeColor="accent1"/>
          <w:lang w:eastAsia="it-IT"/>
        </w:rPr>
        <w:t>La valutazione deve essere fatta sulla base dell’origine dei rifiuti e delle informazioni disponibili. Nel caso diventano disponibili nuove informazioni le valutazioni devono essere aggiornate.</w:t>
      </w:r>
    </w:p>
    <w:p w14:paraId="5BBD8020" w14:textId="77777777" w:rsidR="00553290" w:rsidRPr="00553290" w:rsidRDefault="00553290" w:rsidP="00553290">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 w:name="_Toc126664559"/>
      <w:r w:rsidRPr="00553290">
        <w:rPr>
          <w:rFonts w:ascii="Calibri" w:eastAsia="Times New Roman" w:hAnsi="Calibri" w:cs="Times New Roman"/>
          <w:b/>
          <w:iCs/>
          <w:snapToGrid w:val="0"/>
          <w:sz w:val="24"/>
          <w:szCs w:val="20"/>
          <w:lang w:eastAsia="it-IT"/>
        </w:rPr>
        <w:t xml:space="preserve">1-Sono presenti nei rifiuti (sostanze, miscele o articoli) di partenza per la produzione dell’EOW sostanze incluse nell’allegato IV del Regolamento 1021/2019/UE e </w:t>
      </w:r>
      <w:proofErr w:type="spellStart"/>
      <w:r w:rsidRPr="00553290">
        <w:rPr>
          <w:rFonts w:ascii="Calibri" w:eastAsia="Times New Roman" w:hAnsi="Calibri" w:cs="Times New Roman"/>
          <w:b/>
          <w:iCs/>
          <w:snapToGrid w:val="0"/>
          <w:sz w:val="24"/>
          <w:szCs w:val="20"/>
          <w:lang w:eastAsia="it-IT"/>
        </w:rPr>
        <w:t>s.m.i.</w:t>
      </w:r>
      <w:proofErr w:type="spellEnd"/>
      <w:r w:rsidRPr="00553290">
        <w:rPr>
          <w:rFonts w:ascii="Calibri" w:eastAsia="Times New Roman" w:hAnsi="Calibri" w:cs="Times New Roman"/>
          <w:b/>
          <w:iCs/>
          <w:snapToGrid w:val="0"/>
          <w:sz w:val="24"/>
          <w:szCs w:val="20"/>
          <w:lang w:eastAsia="it-IT"/>
        </w:rPr>
        <w:t>?</w:t>
      </w:r>
      <w:bookmarkEnd w:id="3"/>
    </w:p>
    <w:p w14:paraId="0FE935F4" w14:textId="77777777" w:rsidR="00553290" w:rsidRPr="003D1F7D" w:rsidRDefault="00553290" w:rsidP="00553290">
      <w:pPr>
        <w:spacing w:before="80" w:after="120" w:line="264" w:lineRule="auto"/>
        <w:jc w:val="both"/>
        <w:rPr>
          <w:rFonts w:ascii="Calibri" w:eastAsia="Times New Roman" w:hAnsi="Calibri" w:cs="Arial"/>
          <w:lang w:val="en-US" w:eastAsia="it-IT"/>
        </w:rPr>
      </w:pPr>
      <w:proofErr w:type="spellStart"/>
      <w:r w:rsidRPr="003D1F7D">
        <w:rPr>
          <w:rFonts w:ascii="Calibri" w:eastAsia="Times New Roman" w:hAnsi="Calibri" w:cs="Arial"/>
          <w:i/>
          <w:iCs/>
          <w:lang w:val="en-US" w:eastAsia="it-IT"/>
        </w:rPr>
        <w:t>Riferimenti</w:t>
      </w:r>
      <w:proofErr w:type="spellEnd"/>
      <w:r w:rsidRPr="003D1F7D">
        <w:rPr>
          <w:rFonts w:ascii="Calibri" w:eastAsia="Times New Roman" w:hAnsi="Calibri" w:cs="Arial"/>
          <w:i/>
          <w:iCs/>
          <w:lang w:val="en-US" w:eastAsia="it-IT"/>
        </w:rPr>
        <w:t xml:space="preserve">: art. 4 (4), art. 7 (2) art 7 (3), art. 7(4) a), art. 7(4) b), </w:t>
      </w:r>
      <w:proofErr w:type="spellStart"/>
      <w:r w:rsidRPr="003D1F7D">
        <w:rPr>
          <w:rFonts w:ascii="Calibri" w:eastAsia="Times New Roman" w:hAnsi="Calibri" w:cs="Arial"/>
          <w:i/>
          <w:iCs/>
          <w:lang w:val="en-US" w:eastAsia="it-IT"/>
        </w:rPr>
        <w:t>All.IV</w:t>
      </w:r>
      <w:proofErr w:type="spellEnd"/>
      <w:r w:rsidRPr="003D1F7D">
        <w:rPr>
          <w:rFonts w:ascii="Calibri" w:eastAsia="Times New Roman" w:hAnsi="Calibri" w:cs="Arial"/>
          <w:i/>
          <w:iCs/>
          <w:lang w:val="en-US" w:eastAsia="it-IT"/>
        </w:rPr>
        <w:t>-V POPs</w:t>
      </w:r>
      <w:r w:rsidRPr="003D1F7D">
        <w:rPr>
          <w:rFonts w:ascii="Calibri" w:eastAsia="Times New Roman" w:hAnsi="Calibri" w:cs="Arial"/>
          <w:lang w:val="en-US" w:eastAsia="it-IT"/>
        </w:rPr>
        <w:t>.</w:t>
      </w:r>
    </w:p>
    <w:p w14:paraId="00C77B74" w14:textId="77777777" w:rsidR="00553290" w:rsidRPr="00553290" w:rsidRDefault="00553290" w:rsidP="00553290">
      <w:pPr>
        <w:spacing w:before="80" w:after="120" w:line="264" w:lineRule="auto"/>
        <w:jc w:val="both"/>
        <w:rPr>
          <w:rFonts w:ascii="Calibri" w:eastAsia="Times New Roman" w:hAnsi="Calibri" w:cs="Arial"/>
          <w:i/>
          <w:iCs/>
          <w:color w:val="4472C4" w:themeColor="accent1"/>
          <w:lang w:eastAsia="it-IT"/>
        </w:rPr>
      </w:pPr>
      <w:r w:rsidRPr="00553290">
        <w:rPr>
          <w:rFonts w:ascii="Calibri" w:eastAsia="Times New Roman" w:hAnsi="Calibri" w:cs="Arial"/>
          <w:i/>
          <w:iCs/>
          <w:color w:val="4472C4" w:themeColor="accent1"/>
          <w:lang w:eastAsia="it-IT"/>
        </w:rPr>
        <w:t xml:space="preserve">Risulta necessario una raccolta di informazioni e/o analisi da parte del produttore del rifiuto. Questa valutazione è in parte (mancano alcune sostanze) inclusa nella valutazione </w:t>
      </w:r>
      <w:proofErr w:type="spellStart"/>
      <w:r w:rsidRPr="00553290">
        <w:rPr>
          <w:rFonts w:ascii="Calibri" w:eastAsia="Times New Roman" w:hAnsi="Calibri" w:cs="Arial"/>
          <w:i/>
          <w:iCs/>
          <w:color w:val="4472C4" w:themeColor="accent1"/>
          <w:lang w:eastAsia="it-IT"/>
        </w:rPr>
        <w:t>POPs</w:t>
      </w:r>
      <w:proofErr w:type="spellEnd"/>
      <w:r w:rsidRPr="00553290">
        <w:rPr>
          <w:rFonts w:ascii="Calibri" w:eastAsia="Times New Roman" w:hAnsi="Calibri" w:cs="Arial"/>
          <w:i/>
          <w:iCs/>
          <w:color w:val="4472C4" w:themeColor="accent1"/>
          <w:lang w:eastAsia="it-IT"/>
        </w:rPr>
        <w:t xml:space="preserve"> hazard per le sostanze specificate nella decisione 955/2014/UE, per la classificazione dei rifiuti. Per gli articoli bisogna avere le informazioni dai produttori (ad esempio per ritardanti di fiamma).</w:t>
      </w:r>
    </w:p>
    <w:p w14:paraId="7FD7D240" w14:textId="77777777" w:rsidR="00553290" w:rsidRPr="00553290" w:rsidRDefault="00553290" w:rsidP="00553290">
      <w:pPr>
        <w:spacing w:before="80" w:after="120" w:line="264" w:lineRule="auto"/>
        <w:jc w:val="both"/>
        <w:rPr>
          <w:rFonts w:ascii="Calibri" w:eastAsia="Times New Roman" w:hAnsi="Calibri" w:cs="Arial"/>
          <w:i/>
          <w:iCs/>
          <w:color w:val="4472C4" w:themeColor="accent1"/>
          <w:lang w:eastAsia="it-IT"/>
        </w:rPr>
      </w:pPr>
      <w:r w:rsidRPr="00553290">
        <w:rPr>
          <w:rFonts w:ascii="Calibri" w:eastAsia="Times New Roman" w:hAnsi="Calibri" w:cs="Arial"/>
          <w:i/>
          <w:iCs/>
          <w:color w:val="4472C4" w:themeColor="accent1"/>
          <w:lang w:eastAsia="it-IT"/>
        </w:rPr>
        <w:t>Possono essere esclusi:</w:t>
      </w:r>
    </w:p>
    <w:p w14:paraId="15A9DB89" w14:textId="3B8F926C" w:rsidR="00553290" w:rsidRPr="00553290" w:rsidRDefault="00553290"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1.</w:t>
      </w:r>
      <w:r>
        <w:tab/>
      </w:r>
      <w:r w:rsidRPr="085B2EC0">
        <w:rPr>
          <w:rFonts w:ascii="Calibri" w:eastAsia="Times New Roman" w:hAnsi="Calibri" w:cs="Arial"/>
          <w:i/>
          <w:iCs/>
          <w:color w:val="4472C4" w:themeColor="accent1"/>
          <w:lang w:eastAsia="it-IT"/>
        </w:rPr>
        <w:t>per origine del rifiuto</w:t>
      </w:r>
      <w:r w:rsidR="1DEB6977" w:rsidRPr="085B2EC0">
        <w:rPr>
          <w:rFonts w:ascii="Calibri" w:eastAsia="Times New Roman" w:hAnsi="Calibri" w:cs="Arial"/>
          <w:i/>
          <w:iCs/>
          <w:color w:val="4472C4" w:themeColor="accent1"/>
          <w:lang w:eastAsia="it-IT"/>
        </w:rPr>
        <w:t>;</w:t>
      </w:r>
    </w:p>
    <w:p w14:paraId="3057E692" w14:textId="7571A529" w:rsidR="00553290" w:rsidRPr="00553290" w:rsidRDefault="00553290"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2.</w:t>
      </w:r>
      <w:r>
        <w:tab/>
      </w:r>
      <w:r w:rsidRPr="085B2EC0">
        <w:rPr>
          <w:rFonts w:ascii="Calibri" w:eastAsia="Times New Roman" w:hAnsi="Calibri" w:cs="Arial"/>
          <w:i/>
          <w:iCs/>
          <w:color w:val="4472C4" w:themeColor="accent1"/>
          <w:lang w:eastAsia="it-IT"/>
        </w:rPr>
        <w:t>per valutazioni che quantificano una concentrazione inferiore a quella prevista</w:t>
      </w:r>
      <w:r w:rsidR="6DE18300" w:rsidRPr="085B2EC0">
        <w:rPr>
          <w:rFonts w:ascii="Calibri" w:eastAsia="Times New Roman" w:hAnsi="Calibri" w:cs="Arial"/>
          <w:i/>
          <w:iCs/>
          <w:color w:val="4472C4" w:themeColor="accent1"/>
          <w:lang w:eastAsia="it-IT"/>
        </w:rPr>
        <w:t>;</w:t>
      </w:r>
    </w:p>
    <w:p w14:paraId="373533AD" w14:textId="2A8824A0" w:rsidR="00553290" w:rsidRPr="003B53CB" w:rsidRDefault="00553290" w:rsidP="085B2EC0">
      <w:pPr>
        <w:spacing w:before="80" w:after="120" w:line="264" w:lineRule="auto"/>
        <w:jc w:val="both"/>
        <w:rPr>
          <w:rFonts w:ascii="Calibri" w:eastAsia="Times New Roman" w:hAnsi="Calibri" w:cs="Arial"/>
          <w:i/>
          <w:iCs/>
          <w:lang w:eastAsia="it-IT"/>
        </w:rPr>
      </w:pPr>
      <w:r w:rsidRPr="085B2EC0">
        <w:rPr>
          <w:rFonts w:ascii="Calibri" w:eastAsia="Times New Roman" w:hAnsi="Calibri" w:cs="Arial"/>
          <w:i/>
          <w:iCs/>
          <w:color w:val="4472C4" w:themeColor="accent1"/>
          <w:lang w:eastAsia="it-IT"/>
        </w:rPr>
        <w:t>3.</w:t>
      </w:r>
      <w:r>
        <w:tab/>
      </w:r>
      <w:r w:rsidRPr="085B2EC0">
        <w:rPr>
          <w:rFonts w:ascii="Calibri" w:eastAsia="Times New Roman" w:hAnsi="Calibri" w:cs="Arial"/>
          <w:i/>
          <w:iCs/>
          <w:color w:val="4472C4" w:themeColor="accent1"/>
          <w:lang w:eastAsia="it-IT"/>
        </w:rPr>
        <w:t>tramite analisi chimiche specifiche</w:t>
      </w:r>
      <w:r w:rsidR="230589E4" w:rsidRPr="085B2EC0">
        <w:rPr>
          <w:rFonts w:ascii="Calibri" w:eastAsia="Times New Roman" w:hAnsi="Calibri" w:cs="Arial"/>
          <w:i/>
          <w:iCs/>
          <w:color w:val="4472C4" w:themeColor="accent1"/>
          <w:lang w:eastAsia="it-IT"/>
        </w:rPr>
        <w:t>.</w:t>
      </w:r>
    </w:p>
    <w:p w14:paraId="245F211A" w14:textId="1C77E4B3" w:rsidR="001F2B93" w:rsidRPr="001F2B93" w:rsidRDefault="001F2B93" w:rsidP="001F2B93">
      <w:pPr>
        <w:spacing w:before="80" w:after="120" w:line="264" w:lineRule="auto"/>
        <w:jc w:val="both"/>
        <w:rPr>
          <w:rFonts w:ascii="Calibri" w:eastAsia="Times New Roman" w:hAnsi="Calibri" w:cs="Arial"/>
          <w:lang w:eastAsia="it-IT"/>
        </w:rPr>
      </w:pPr>
      <w:r w:rsidRPr="001F2B93">
        <w:rPr>
          <w:rFonts w:ascii="Calibri" w:eastAsia="Times New Roman" w:hAnsi="Calibri" w:cs="Arial"/>
          <w:lang w:eastAsia="it-IT"/>
        </w:rPr>
        <w:t xml:space="preserve">I rifiuti in ingresso devono rispettare le indicazioni del Regolamento 1021/2019/UE (Regolamento </w:t>
      </w:r>
      <w:proofErr w:type="spellStart"/>
      <w:r w:rsidRPr="001F2B93">
        <w:rPr>
          <w:rFonts w:ascii="Calibri" w:eastAsia="Times New Roman" w:hAnsi="Calibri" w:cs="Arial"/>
          <w:lang w:eastAsia="it-IT"/>
        </w:rPr>
        <w:t>POPs</w:t>
      </w:r>
      <w:proofErr w:type="spellEnd"/>
      <w:r w:rsidRPr="001F2B93">
        <w:rPr>
          <w:rFonts w:ascii="Calibri" w:eastAsia="Times New Roman" w:hAnsi="Calibri" w:cs="Arial"/>
          <w:lang w:eastAsia="it-IT"/>
        </w:rPr>
        <w:t xml:space="preserve">) relativo agli inquinanti organici persistenti, </w:t>
      </w:r>
      <w:r w:rsidRPr="001F2B93">
        <w:rPr>
          <w:rFonts w:ascii="Calibri" w:eastAsia="Times New Roman" w:hAnsi="Calibri" w:cs="Arial"/>
          <w:b/>
          <w:bCs/>
          <w:lang w:eastAsia="it-IT"/>
        </w:rPr>
        <w:t>per essere sottoposti alle operazioni di recupero</w:t>
      </w:r>
      <w:r w:rsidRPr="001F2B93">
        <w:rPr>
          <w:rFonts w:ascii="Calibri" w:eastAsia="Times New Roman" w:hAnsi="Calibri" w:cs="Arial"/>
          <w:lang w:eastAsia="it-IT"/>
        </w:rPr>
        <w:t xml:space="preserve">, secondo quando previsto dall’articolo 7 (4), mentre i prodotti ottenuti devono rispettare le condizioni, ove applicabili, dell’art 4 (1) b), dello stesso regolamento. Di seguito in tabella viene fatta la valutazione relativa ai </w:t>
      </w:r>
      <w:proofErr w:type="spellStart"/>
      <w:r w:rsidRPr="001F2B93">
        <w:rPr>
          <w:rFonts w:ascii="Calibri" w:eastAsia="Times New Roman" w:hAnsi="Calibri" w:cs="Arial"/>
          <w:lang w:eastAsia="it-IT"/>
        </w:rPr>
        <w:t>POPs</w:t>
      </w:r>
      <w:proofErr w:type="spellEnd"/>
      <w:r w:rsidRPr="001F2B93">
        <w:rPr>
          <w:rFonts w:ascii="Calibri" w:eastAsia="Times New Roman" w:hAnsi="Calibri" w:cs="Arial"/>
          <w:lang w:eastAsia="it-IT"/>
        </w:rPr>
        <w:t>:</w:t>
      </w:r>
    </w:p>
    <w:p w14:paraId="55756F9D" w14:textId="77777777" w:rsidR="001F2B93" w:rsidRPr="001F2B93" w:rsidRDefault="001F2B93" w:rsidP="001F2B93">
      <w:pPr>
        <w:spacing w:before="80" w:after="120" w:line="264" w:lineRule="auto"/>
        <w:jc w:val="both"/>
        <w:rPr>
          <w:rFonts w:ascii="Calibri" w:eastAsia="Times New Roman" w:hAnsi="Calibri" w:cs="Arial"/>
          <w:lang w:eastAsia="it-IT"/>
        </w:rPr>
      </w:pPr>
    </w:p>
    <w:tbl>
      <w:tblPr>
        <w:tblStyle w:val="Grigliatabella1"/>
        <w:tblW w:w="10841" w:type="dxa"/>
        <w:jc w:val="center"/>
        <w:tblLook w:val="04A0" w:firstRow="1" w:lastRow="0" w:firstColumn="1" w:lastColumn="0" w:noHBand="0" w:noVBand="1"/>
      </w:tblPr>
      <w:tblGrid>
        <w:gridCol w:w="394"/>
        <w:gridCol w:w="2164"/>
        <w:gridCol w:w="804"/>
        <w:gridCol w:w="617"/>
        <w:gridCol w:w="1898"/>
        <w:gridCol w:w="1951"/>
        <w:gridCol w:w="919"/>
        <w:gridCol w:w="990"/>
        <w:gridCol w:w="530"/>
        <w:gridCol w:w="574"/>
      </w:tblGrid>
      <w:tr w:rsidR="00E10DF9" w:rsidRPr="001F2B93" w14:paraId="3E9775F3" w14:textId="77777777" w:rsidTr="00DC17E3">
        <w:trPr>
          <w:tblHeader/>
          <w:jc w:val="center"/>
        </w:trPr>
        <w:tc>
          <w:tcPr>
            <w:tcW w:w="394" w:type="dxa"/>
            <w:shd w:val="clear" w:color="auto" w:fill="EEECE1"/>
          </w:tcPr>
          <w:p w14:paraId="6CE42F20" w14:textId="0D694FB6" w:rsidR="00E10DF9" w:rsidRPr="001F2B93" w:rsidRDefault="00E10DF9" w:rsidP="001F2B93">
            <w:pPr>
              <w:rPr>
                <w:rFonts w:ascii="Arial" w:hAnsi="Arial" w:cs="Arial"/>
                <w:b/>
                <w:sz w:val="16"/>
                <w:szCs w:val="16"/>
              </w:rPr>
            </w:pPr>
            <w:r>
              <w:rPr>
                <w:rFonts w:ascii="Arial" w:hAnsi="Arial" w:cs="Arial"/>
                <w:b/>
                <w:sz w:val="16"/>
                <w:szCs w:val="16"/>
              </w:rPr>
              <w:t>n.</w:t>
            </w:r>
          </w:p>
        </w:tc>
        <w:tc>
          <w:tcPr>
            <w:tcW w:w="2164" w:type="dxa"/>
            <w:shd w:val="clear" w:color="auto" w:fill="EEECE1"/>
          </w:tcPr>
          <w:p w14:paraId="1547BA79" w14:textId="2EA43724" w:rsidR="00E10DF9" w:rsidRPr="001F2B93" w:rsidRDefault="00E10DF9" w:rsidP="001F2B93">
            <w:pPr>
              <w:rPr>
                <w:rFonts w:ascii="Arial" w:hAnsi="Arial" w:cs="Arial"/>
                <w:b/>
                <w:sz w:val="16"/>
                <w:szCs w:val="16"/>
              </w:rPr>
            </w:pPr>
            <w:r w:rsidRPr="001F2B93">
              <w:rPr>
                <w:rFonts w:ascii="Arial" w:hAnsi="Arial" w:cs="Arial"/>
                <w:b/>
                <w:sz w:val="16"/>
                <w:szCs w:val="16"/>
              </w:rPr>
              <w:t>Sostanza</w:t>
            </w:r>
          </w:p>
        </w:tc>
        <w:tc>
          <w:tcPr>
            <w:tcW w:w="804" w:type="dxa"/>
            <w:shd w:val="clear" w:color="auto" w:fill="EEECE1"/>
          </w:tcPr>
          <w:p w14:paraId="7BC95EAA" w14:textId="77777777" w:rsidR="00E10DF9" w:rsidRPr="001F2B93" w:rsidRDefault="00E10DF9" w:rsidP="001F2B93">
            <w:pPr>
              <w:rPr>
                <w:rFonts w:ascii="Arial" w:hAnsi="Arial" w:cs="Arial"/>
                <w:b/>
                <w:sz w:val="16"/>
                <w:szCs w:val="16"/>
              </w:rPr>
            </w:pPr>
            <w:r w:rsidRPr="001F2B93">
              <w:rPr>
                <w:rFonts w:ascii="Arial" w:hAnsi="Arial" w:cs="Arial"/>
                <w:b/>
                <w:sz w:val="16"/>
                <w:szCs w:val="16"/>
              </w:rPr>
              <w:t>CAS NR</w:t>
            </w:r>
          </w:p>
        </w:tc>
        <w:tc>
          <w:tcPr>
            <w:tcW w:w="617" w:type="dxa"/>
            <w:shd w:val="clear" w:color="auto" w:fill="EEECE1"/>
          </w:tcPr>
          <w:p w14:paraId="77418E20" w14:textId="77777777" w:rsidR="00E10DF9" w:rsidRPr="001F2B93" w:rsidRDefault="00E10DF9" w:rsidP="001F2B93">
            <w:pPr>
              <w:rPr>
                <w:rFonts w:ascii="Arial" w:hAnsi="Arial" w:cs="Arial"/>
                <w:b/>
                <w:sz w:val="16"/>
                <w:szCs w:val="16"/>
              </w:rPr>
            </w:pPr>
            <w:r w:rsidRPr="001F2B93">
              <w:rPr>
                <w:rFonts w:ascii="Arial" w:hAnsi="Arial" w:cs="Arial"/>
                <w:b/>
                <w:sz w:val="16"/>
                <w:szCs w:val="16"/>
              </w:rPr>
              <w:t>EC NR</w:t>
            </w:r>
          </w:p>
        </w:tc>
        <w:tc>
          <w:tcPr>
            <w:tcW w:w="1898" w:type="dxa"/>
            <w:shd w:val="clear" w:color="auto" w:fill="EEECE1"/>
          </w:tcPr>
          <w:p w14:paraId="28F650E5" w14:textId="77777777" w:rsidR="00E10DF9" w:rsidRPr="001F2B93" w:rsidRDefault="00E10DF9" w:rsidP="001F2B93">
            <w:pPr>
              <w:rPr>
                <w:rFonts w:ascii="Arial" w:hAnsi="Arial" w:cs="Arial"/>
                <w:b/>
                <w:sz w:val="16"/>
                <w:szCs w:val="16"/>
              </w:rPr>
            </w:pPr>
            <w:r w:rsidRPr="001F2B93">
              <w:rPr>
                <w:rFonts w:ascii="Arial" w:hAnsi="Arial" w:cs="Arial"/>
                <w:b/>
                <w:sz w:val="16"/>
                <w:szCs w:val="16"/>
              </w:rPr>
              <w:t>Valore limite di concentrazione di cui all'articolo 7, paragrafo 4, lettera a)</w:t>
            </w:r>
          </w:p>
        </w:tc>
        <w:tc>
          <w:tcPr>
            <w:tcW w:w="1951" w:type="dxa"/>
            <w:shd w:val="clear" w:color="auto" w:fill="EEECE1"/>
          </w:tcPr>
          <w:p w14:paraId="0C8A30FE" w14:textId="77777777" w:rsidR="00E10DF9" w:rsidRPr="001F2B93" w:rsidRDefault="00E10DF9" w:rsidP="001F2B93">
            <w:pPr>
              <w:rPr>
                <w:rFonts w:ascii="Arial" w:hAnsi="Arial" w:cs="Arial"/>
                <w:b/>
                <w:sz w:val="16"/>
                <w:szCs w:val="16"/>
              </w:rPr>
            </w:pPr>
            <w:r w:rsidRPr="001F2B93">
              <w:rPr>
                <w:rFonts w:ascii="Arial" w:hAnsi="Arial" w:cs="Arial"/>
                <w:b/>
                <w:sz w:val="16"/>
                <w:szCs w:val="16"/>
              </w:rPr>
              <w:t xml:space="preserve">Funzione  </w:t>
            </w:r>
          </w:p>
        </w:tc>
        <w:tc>
          <w:tcPr>
            <w:tcW w:w="919" w:type="dxa"/>
            <w:shd w:val="clear" w:color="auto" w:fill="EEECE1"/>
          </w:tcPr>
          <w:p w14:paraId="2C8644E9" w14:textId="6BA4B28A" w:rsidR="00E10DF9" w:rsidRPr="001F2B93" w:rsidRDefault="00E10DF9" w:rsidP="001F2B93">
            <w:pPr>
              <w:rPr>
                <w:rFonts w:ascii="Arial" w:hAnsi="Arial" w:cs="Arial"/>
                <w:b/>
                <w:sz w:val="16"/>
                <w:szCs w:val="16"/>
              </w:rPr>
            </w:pPr>
            <w:r w:rsidRPr="001F2B93">
              <w:rPr>
                <w:rFonts w:ascii="Arial" w:hAnsi="Arial" w:cs="Arial"/>
                <w:b/>
                <w:sz w:val="16"/>
                <w:szCs w:val="16"/>
              </w:rPr>
              <w:t>P</w:t>
            </w:r>
            <w:r w:rsidRPr="001F2B93">
              <w:rPr>
                <w:rFonts w:ascii="Arial" w:hAnsi="Arial"/>
                <w:b/>
                <w:sz w:val="16"/>
                <w:szCs w:val="16"/>
              </w:rPr>
              <w:t xml:space="preserve">ossibile presenza nella </w:t>
            </w:r>
            <w:r>
              <w:rPr>
                <w:rFonts w:ascii="Arial" w:hAnsi="Arial" w:cs="Arial"/>
                <w:b/>
                <w:sz w:val="16"/>
                <w:szCs w:val="16"/>
              </w:rPr>
              <w:t>EOW</w:t>
            </w:r>
          </w:p>
        </w:tc>
        <w:tc>
          <w:tcPr>
            <w:tcW w:w="990" w:type="dxa"/>
            <w:shd w:val="clear" w:color="auto" w:fill="EEECE1"/>
          </w:tcPr>
          <w:p w14:paraId="360E60CF" w14:textId="77777777" w:rsidR="00E10DF9" w:rsidRPr="001F2B93" w:rsidRDefault="00E10DF9" w:rsidP="001F2B93">
            <w:pPr>
              <w:rPr>
                <w:rFonts w:ascii="Arial" w:hAnsi="Arial" w:cs="Arial"/>
                <w:b/>
                <w:sz w:val="16"/>
                <w:szCs w:val="16"/>
              </w:rPr>
            </w:pPr>
            <w:r w:rsidRPr="001F2B93">
              <w:rPr>
                <w:rFonts w:ascii="Arial" w:hAnsi="Arial" w:cs="Arial"/>
                <w:b/>
                <w:sz w:val="16"/>
                <w:szCs w:val="16"/>
              </w:rPr>
              <w:t xml:space="preserve">Candidate List </w:t>
            </w:r>
            <w:r w:rsidRPr="001F2B93">
              <w:rPr>
                <w:rFonts w:ascii="Arial" w:hAnsi="Arial"/>
                <w:b/>
                <w:sz w:val="16"/>
                <w:szCs w:val="16"/>
              </w:rPr>
              <w:t>SVHC</w:t>
            </w:r>
          </w:p>
        </w:tc>
        <w:tc>
          <w:tcPr>
            <w:tcW w:w="530" w:type="dxa"/>
            <w:shd w:val="clear" w:color="auto" w:fill="EEECE1"/>
          </w:tcPr>
          <w:p w14:paraId="60A4A796" w14:textId="77777777" w:rsidR="00E10DF9" w:rsidRPr="001F2B93" w:rsidRDefault="00E10DF9" w:rsidP="001F2B93">
            <w:pPr>
              <w:rPr>
                <w:rFonts w:ascii="Arial" w:hAnsi="Arial" w:cs="Arial"/>
                <w:b/>
                <w:sz w:val="16"/>
                <w:szCs w:val="16"/>
              </w:rPr>
            </w:pPr>
            <w:proofErr w:type="spellStart"/>
            <w:r w:rsidRPr="001F2B93">
              <w:rPr>
                <w:rFonts w:ascii="Arial" w:hAnsi="Arial" w:cs="Arial"/>
                <w:b/>
                <w:sz w:val="16"/>
                <w:szCs w:val="16"/>
              </w:rPr>
              <w:t>All</w:t>
            </w:r>
            <w:proofErr w:type="spellEnd"/>
            <w:r w:rsidRPr="001F2B93">
              <w:rPr>
                <w:rFonts w:ascii="Arial" w:hAnsi="Arial" w:cs="Arial"/>
                <w:b/>
                <w:sz w:val="16"/>
                <w:szCs w:val="16"/>
              </w:rPr>
              <w:t>. XIV</w:t>
            </w:r>
            <w:r w:rsidRPr="001F2B93">
              <w:rPr>
                <w:rFonts w:ascii="Arial" w:hAnsi="Arial" w:cs="Arial"/>
                <w:b/>
                <w:sz w:val="16"/>
                <w:szCs w:val="16"/>
                <w:vertAlign w:val="superscript"/>
              </w:rPr>
              <w:footnoteReference w:id="1"/>
            </w:r>
          </w:p>
        </w:tc>
        <w:tc>
          <w:tcPr>
            <w:tcW w:w="574" w:type="dxa"/>
            <w:shd w:val="clear" w:color="auto" w:fill="EEECE1"/>
          </w:tcPr>
          <w:p w14:paraId="27BDFCC9" w14:textId="77777777" w:rsidR="00E10DF9" w:rsidRPr="001F2B93" w:rsidRDefault="00E10DF9" w:rsidP="001F2B93">
            <w:pPr>
              <w:rPr>
                <w:rFonts w:ascii="Arial" w:hAnsi="Arial" w:cs="Arial"/>
                <w:b/>
                <w:sz w:val="16"/>
                <w:szCs w:val="16"/>
              </w:rPr>
            </w:pPr>
            <w:proofErr w:type="spellStart"/>
            <w:r w:rsidRPr="001F2B93">
              <w:rPr>
                <w:rFonts w:ascii="Arial" w:hAnsi="Arial" w:cs="Arial"/>
                <w:b/>
                <w:sz w:val="16"/>
                <w:szCs w:val="16"/>
              </w:rPr>
              <w:t>All</w:t>
            </w:r>
            <w:proofErr w:type="spellEnd"/>
            <w:r w:rsidRPr="001F2B93">
              <w:rPr>
                <w:rFonts w:ascii="Arial" w:hAnsi="Arial" w:cs="Arial"/>
                <w:b/>
                <w:sz w:val="16"/>
                <w:szCs w:val="16"/>
              </w:rPr>
              <w:t>. XVII</w:t>
            </w:r>
            <w:r w:rsidRPr="001F2B93">
              <w:rPr>
                <w:rFonts w:ascii="Arial" w:hAnsi="Arial" w:cs="Arial"/>
                <w:b/>
                <w:sz w:val="16"/>
                <w:szCs w:val="16"/>
                <w:vertAlign w:val="superscript"/>
              </w:rPr>
              <w:footnoteReference w:id="2"/>
            </w:r>
          </w:p>
        </w:tc>
      </w:tr>
      <w:tr w:rsidR="00E10DF9" w:rsidRPr="001F2B93" w14:paraId="10340D42" w14:textId="77777777" w:rsidTr="00DC17E3">
        <w:trPr>
          <w:jc w:val="center"/>
        </w:trPr>
        <w:tc>
          <w:tcPr>
            <w:tcW w:w="394" w:type="dxa"/>
          </w:tcPr>
          <w:p w14:paraId="1981F548" w14:textId="1C23C373" w:rsidR="00E10DF9" w:rsidRPr="001F2B93" w:rsidRDefault="00E10DF9" w:rsidP="001F2B93">
            <w:pPr>
              <w:rPr>
                <w:rFonts w:ascii="Arial" w:hAnsi="Arial" w:cs="Arial"/>
                <w:sz w:val="16"/>
                <w:szCs w:val="16"/>
              </w:rPr>
            </w:pPr>
            <w:r>
              <w:rPr>
                <w:rFonts w:ascii="Arial" w:hAnsi="Arial" w:cs="Arial"/>
                <w:sz w:val="16"/>
                <w:szCs w:val="16"/>
              </w:rPr>
              <w:t>1</w:t>
            </w:r>
          </w:p>
        </w:tc>
        <w:tc>
          <w:tcPr>
            <w:tcW w:w="2164" w:type="dxa"/>
          </w:tcPr>
          <w:p w14:paraId="5394B754" w14:textId="08F0D0AB" w:rsidR="00E10DF9" w:rsidRPr="001F2B93" w:rsidRDefault="00E10DF9" w:rsidP="001F2B93">
            <w:pPr>
              <w:rPr>
                <w:rFonts w:ascii="Arial" w:hAnsi="Arial" w:cs="Arial"/>
                <w:sz w:val="16"/>
                <w:szCs w:val="16"/>
              </w:rPr>
            </w:pPr>
            <w:proofErr w:type="spellStart"/>
            <w:r w:rsidRPr="001F2B93">
              <w:rPr>
                <w:rFonts w:ascii="Arial" w:hAnsi="Arial" w:cs="Arial"/>
                <w:sz w:val="16"/>
                <w:szCs w:val="16"/>
              </w:rPr>
              <w:t>Endosulfan</w:t>
            </w:r>
            <w:proofErr w:type="spellEnd"/>
          </w:p>
        </w:tc>
        <w:tc>
          <w:tcPr>
            <w:tcW w:w="804" w:type="dxa"/>
          </w:tcPr>
          <w:p w14:paraId="0B49F95F" w14:textId="77777777" w:rsidR="00E10DF9" w:rsidRPr="001F2B93" w:rsidRDefault="00E10DF9" w:rsidP="001F2B93">
            <w:pPr>
              <w:rPr>
                <w:rFonts w:ascii="Arial" w:hAnsi="Arial" w:cs="Arial"/>
                <w:sz w:val="16"/>
                <w:szCs w:val="16"/>
              </w:rPr>
            </w:pPr>
            <w:r w:rsidRPr="001F2B93">
              <w:rPr>
                <w:rFonts w:ascii="Arial" w:hAnsi="Arial" w:cs="Arial"/>
                <w:sz w:val="16"/>
                <w:szCs w:val="16"/>
              </w:rPr>
              <w:t>115-29-7 959-98-8 33213-65-9</w:t>
            </w:r>
          </w:p>
        </w:tc>
        <w:tc>
          <w:tcPr>
            <w:tcW w:w="617" w:type="dxa"/>
          </w:tcPr>
          <w:p w14:paraId="2FF05B8C" w14:textId="77777777" w:rsidR="00E10DF9" w:rsidRPr="001F2B93" w:rsidRDefault="00E10DF9" w:rsidP="001F2B93">
            <w:pPr>
              <w:rPr>
                <w:rFonts w:ascii="Arial" w:hAnsi="Arial" w:cs="Arial"/>
                <w:sz w:val="16"/>
                <w:szCs w:val="16"/>
              </w:rPr>
            </w:pPr>
            <w:r w:rsidRPr="001F2B93">
              <w:rPr>
                <w:rFonts w:ascii="Arial" w:hAnsi="Arial" w:cs="Arial"/>
                <w:sz w:val="16"/>
                <w:szCs w:val="16"/>
              </w:rPr>
              <w:t>204-079-4</w:t>
            </w:r>
          </w:p>
        </w:tc>
        <w:tc>
          <w:tcPr>
            <w:tcW w:w="1898" w:type="dxa"/>
          </w:tcPr>
          <w:p w14:paraId="32F4DFE1" w14:textId="77777777" w:rsidR="00E10DF9" w:rsidRPr="001F2B93" w:rsidRDefault="00E10DF9" w:rsidP="001F2B93">
            <w:pPr>
              <w:rPr>
                <w:rFonts w:ascii="Arial" w:hAnsi="Arial" w:cs="Arial"/>
                <w:sz w:val="16"/>
                <w:szCs w:val="16"/>
              </w:rPr>
            </w:pPr>
            <w:r w:rsidRPr="001F2B93">
              <w:rPr>
                <w:rFonts w:ascii="Arial" w:hAnsi="Arial" w:cs="Arial"/>
                <w:sz w:val="16"/>
                <w:szCs w:val="16"/>
              </w:rPr>
              <w:t>50 mg/kg</w:t>
            </w:r>
          </w:p>
        </w:tc>
        <w:tc>
          <w:tcPr>
            <w:tcW w:w="1951" w:type="dxa"/>
          </w:tcPr>
          <w:p w14:paraId="773D824B" w14:textId="77777777" w:rsidR="00E10DF9" w:rsidRPr="001F2B93" w:rsidRDefault="00E10DF9" w:rsidP="001F2B93">
            <w:pPr>
              <w:rPr>
                <w:rFonts w:ascii="Arial" w:hAnsi="Arial" w:cs="Arial"/>
                <w:sz w:val="16"/>
                <w:szCs w:val="16"/>
              </w:rPr>
            </w:pPr>
            <w:r w:rsidRPr="001F2B93">
              <w:rPr>
                <w:rFonts w:ascii="Arial" w:hAnsi="Arial" w:cs="Arial"/>
                <w:sz w:val="16"/>
                <w:szCs w:val="16"/>
              </w:rPr>
              <w:t xml:space="preserve">Insetticida, acaricida </w:t>
            </w:r>
          </w:p>
        </w:tc>
        <w:tc>
          <w:tcPr>
            <w:tcW w:w="919" w:type="dxa"/>
          </w:tcPr>
          <w:p w14:paraId="0DBC62FF" w14:textId="286246A7" w:rsidR="00E10DF9" w:rsidRPr="001F2B93" w:rsidRDefault="00E10DF9" w:rsidP="001F2B93">
            <w:pPr>
              <w:rPr>
                <w:rFonts w:ascii="Arial" w:hAnsi="Arial" w:cs="Arial"/>
                <w:sz w:val="16"/>
                <w:szCs w:val="16"/>
              </w:rPr>
            </w:pPr>
          </w:p>
        </w:tc>
        <w:tc>
          <w:tcPr>
            <w:tcW w:w="990" w:type="dxa"/>
          </w:tcPr>
          <w:p w14:paraId="0F2E8BE9"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07BA10C3"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0821B547"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1CCD0C21" w14:textId="77777777" w:rsidTr="00DC17E3">
        <w:trPr>
          <w:jc w:val="center"/>
        </w:trPr>
        <w:tc>
          <w:tcPr>
            <w:tcW w:w="394" w:type="dxa"/>
          </w:tcPr>
          <w:p w14:paraId="36E8D333" w14:textId="230DCD73" w:rsidR="00E10DF9" w:rsidRPr="001F2B93" w:rsidRDefault="00E10DF9" w:rsidP="001F2B93">
            <w:pPr>
              <w:rPr>
                <w:rFonts w:ascii="Arial" w:hAnsi="Arial" w:cs="Arial"/>
                <w:sz w:val="16"/>
                <w:szCs w:val="16"/>
              </w:rPr>
            </w:pPr>
            <w:r>
              <w:rPr>
                <w:rFonts w:ascii="Arial" w:hAnsi="Arial" w:cs="Arial"/>
                <w:sz w:val="16"/>
                <w:szCs w:val="16"/>
              </w:rPr>
              <w:t>2</w:t>
            </w:r>
          </w:p>
        </w:tc>
        <w:tc>
          <w:tcPr>
            <w:tcW w:w="2164" w:type="dxa"/>
          </w:tcPr>
          <w:p w14:paraId="37ED53C0" w14:textId="29AB97BC" w:rsidR="00E10DF9" w:rsidRPr="001F2B93" w:rsidRDefault="00E10DF9" w:rsidP="001F2B93">
            <w:pPr>
              <w:rPr>
                <w:rFonts w:ascii="Arial" w:hAnsi="Arial" w:cs="Arial"/>
                <w:sz w:val="16"/>
                <w:szCs w:val="16"/>
              </w:rPr>
            </w:pPr>
            <w:proofErr w:type="spellStart"/>
            <w:r w:rsidRPr="001F2B93">
              <w:rPr>
                <w:rFonts w:ascii="Arial" w:hAnsi="Arial" w:cs="Arial"/>
                <w:sz w:val="16"/>
                <w:szCs w:val="16"/>
              </w:rPr>
              <w:t>Esaclorobutadiene</w:t>
            </w:r>
            <w:proofErr w:type="spellEnd"/>
          </w:p>
        </w:tc>
        <w:tc>
          <w:tcPr>
            <w:tcW w:w="804" w:type="dxa"/>
          </w:tcPr>
          <w:p w14:paraId="26B2BE20" w14:textId="77777777" w:rsidR="00E10DF9" w:rsidRPr="001F2B93" w:rsidRDefault="00E10DF9" w:rsidP="001F2B93">
            <w:pPr>
              <w:rPr>
                <w:rFonts w:ascii="Arial" w:hAnsi="Arial" w:cs="Arial"/>
                <w:sz w:val="16"/>
                <w:szCs w:val="16"/>
              </w:rPr>
            </w:pPr>
            <w:r w:rsidRPr="001F2B93">
              <w:rPr>
                <w:rFonts w:ascii="Arial" w:hAnsi="Arial" w:cs="Arial"/>
                <w:sz w:val="16"/>
                <w:szCs w:val="16"/>
              </w:rPr>
              <w:t>87-68-3</w:t>
            </w:r>
          </w:p>
        </w:tc>
        <w:tc>
          <w:tcPr>
            <w:tcW w:w="617" w:type="dxa"/>
          </w:tcPr>
          <w:p w14:paraId="32348F24" w14:textId="77777777" w:rsidR="00E10DF9" w:rsidRPr="001F2B93" w:rsidRDefault="00E10DF9" w:rsidP="001F2B93">
            <w:pPr>
              <w:rPr>
                <w:rFonts w:ascii="Arial" w:hAnsi="Arial" w:cs="Arial"/>
                <w:sz w:val="16"/>
                <w:szCs w:val="16"/>
              </w:rPr>
            </w:pPr>
            <w:r w:rsidRPr="001F2B93">
              <w:rPr>
                <w:rFonts w:ascii="Arial" w:hAnsi="Arial" w:cs="Arial"/>
                <w:sz w:val="16"/>
                <w:szCs w:val="16"/>
              </w:rPr>
              <w:t>201-765-5</w:t>
            </w:r>
          </w:p>
        </w:tc>
        <w:tc>
          <w:tcPr>
            <w:tcW w:w="1898" w:type="dxa"/>
          </w:tcPr>
          <w:p w14:paraId="256436CA" w14:textId="77777777" w:rsidR="00E10DF9" w:rsidRPr="001F2B93" w:rsidRDefault="00E10DF9" w:rsidP="001F2B93">
            <w:pPr>
              <w:rPr>
                <w:rFonts w:ascii="Arial" w:hAnsi="Arial" w:cs="Arial"/>
                <w:sz w:val="16"/>
                <w:szCs w:val="16"/>
              </w:rPr>
            </w:pPr>
            <w:r w:rsidRPr="001F2B93">
              <w:rPr>
                <w:rFonts w:ascii="Arial" w:hAnsi="Arial" w:cs="Arial"/>
                <w:sz w:val="16"/>
                <w:szCs w:val="16"/>
              </w:rPr>
              <w:t>100 mg/kg</w:t>
            </w:r>
          </w:p>
        </w:tc>
        <w:tc>
          <w:tcPr>
            <w:tcW w:w="1951" w:type="dxa"/>
          </w:tcPr>
          <w:p w14:paraId="1096ADA4" w14:textId="77777777" w:rsidR="00E10DF9" w:rsidRPr="001F2B93" w:rsidRDefault="00E10DF9" w:rsidP="001F2B93">
            <w:pPr>
              <w:rPr>
                <w:rFonts w:ascii="Arial" w:hAnsi="Arial" w:cs="Arial"/>
                <w:sz w:val="16"/>
                <w:szCs w:val="16"/>
              </w:rPr>
            </w:pPr>
            <w:r w:rsidRPr="001F2B93">
              <w:rPr>
                <w:rFonts w:ascii="Arial" w:hAnsi="Arial" w:cs="Arial"/>
                <w:sz w:val="16"/>
                <w:szCs w:val="16"/>
              </w:rPr>
              <w:t>Erbicida</w:t>
            </w:r>
          </w:p>
        </w:tc>
        <w:tc>
          <w:tcPr>
            <w:tcW w:w="919" w:type="dxa"/>
          </w:tcPr>
          <w:p w14:paraId="7F902046" w14:textId="5D3D4B82" w:rsidR="00E10DF9" w:rsidRPr="001F2B93" w:rsidRDefault="00E10DF9" w:rsidP="001F2B93">
            <w:pPr>
              <w:rPr>
                <w:rFonts w:ascii="Arial" w:hAnsi="Arial" w:cs="Arial"/>
                <w:sz w:val="16"/>
                <w:szCs w:val="16"/>
              </w:rPr>
            </w:pPr>
          </w:p>
        </w:tc>
        <w:tc>
          <w:tcPr>
            <w:tcW w:w="990" w:type="dxa"/>
          </w:tcPr>
          <w:p w14:paraId="57332A5E"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60ED4B9C"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0A7A9C5B"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6EA7FDC6" w14:textId="77777777" w:rsidTr="00DC17E3">
        <w:trPr>
          <w:jc w:val="center"/>
        </w:trPr>
        <w:tc>
          <w:tcPr>
            <w:tcW w:w="394" w:type="dxa"/>
          </w:tcPr>
          <w:p w14:paraId="69D838B0" w14:textId="638F70DE" w:rsidR="00E10DF9" w:rsidRPr="001F2B93" w:rsidRDefault="00E10DF9" w:rsidP="001F2B93">
            <w:pPr>
              <w:rPr>
                <w:rFonts w:ascii="Arial" w:hAnsi="Arial" w:cs="Arial"/>
                <w:sz w:val="16"/>
                <w:szCs w:val="16"/>
              </w:rPr>
            </w:pPr>
            <w:r>
              <w:rPr>
                <w:rFonts w:ascii="Arial" w:hAnsi="Arial" w:cs="Arial"/>
                <w:sz w:val="16"/>
                <w:szCs w:val="16"/>
              </w:rPr>
              <w:t>3</w:t>
            </w:r>
          </w:p>
        </w:tc>
        <w:tc>
          <w:tcPr>
            <w:tcW w:w="2164" w:type="dxa"/>
          </w:tcPr>
          <w:p w14:paraId="015702E4" w14:textId="1CFB2572" w:rsidR="00E10DF9" w:rsidRPr="001F2B93" w:rsidRDefault="00E10DF9" w:rsidP="001F2B93">
            <w:pPr>
              <w:rPr>
                <w:rFonts w:ascii="Arial" w:hAnsi="Arial" w:cs="Arial"/>
                <w:sz w:val="16"/>
                <w:szCs w:val="16"/>
              </w:rPr>
            </w:pPr>
            <w:r w:rsidRPr="001F2B93">
              <w:rPr>
                <w:rFonts w:ascii="Arial" w:hAnsi="Arial" w:cs="Arial"/>
                <w:sz w:val="16"/>
                <w:szCs w:val="16"/>
              </w:rPr>
              <w:t>Naftaleni policlorurati (1)</w:t>
            </w:r>
          </w:p>
        </w:tc>
        <w:tc>
          <w:tcPr>
            <w:tcW w:w="804" w:type="dxa"/>
          </w:tcPr>
          <w:p w14:paraId="0216A173" w14:textId="77777777" w:rsidR="00E10DF9" w:rsidRPr="001F2B93" w:rsidRDefault="00E10DF9" w:rsidP="001F2B93">
            <w:pPr>
              <w:rPr>
                <w:rFonts w:ascii="Arial" w:hAnsi="Arial" w:cs="Arial"/>
                <w:sz w:val="16"/>
                <w:szCs w:val="16"/>
              </w:rPr>
            </w:pPr>
            <w:r w:rsidRPr="001F2B93">
              <w:rPr>
                <w:rFonts w:ascii="Arial" w:hAnsi="Arial" w:cs="Arial"/>
                <w:sz w:val="16"/>
                <w:szCs w:val="16"/>
              </w:rPr>
              <w:t>-</w:t>
            </w:r>
          </w:p>
        </w:tc>
        <w:tc>
          <w:tcPr>
            <w:tcW w:w="617" w:type="dxa"/>
          </w:tcPr>
          <w:p w14:paraId="393C6A3B" w14:textId="77777777" w:rsidR="00E10DF9" w:rsidRPr="001F2B93" w:rsidRDefault="00E10DF9" w:rsidP="001F2B93">
            <w:pPr>
              <w:rPr>
                <w:rFonts w:ascii="Arial" w:hAnsi="Arial" w:cs="Arial"/>
                <w:sz w:val="16"/>
                <w:szCs w:val="16"/>
              </w:rPr>
            </w:pPr>
            <w:r w:rsidRPr="001F2B93">
              <w:rPr>
                <w:rFonts w:ascii="Arial" w:hAnsi="Arial" w:cs="Arial"/>
                <w:sz w:val="16"/>
                <w:szCs w:val="16"/>
              </w:rPr>
              <w:t>-</w:t>
            </w:r>
          </w:p>
        </w:tc>
        <w:tc>
          <w:tcPr>
            <w:tcW w:w="1898" w:type="dxa"/>
          </w:tcPr>
          <w:p w14:paraId="5DC43A46" w14:textId="77777777" w:rsidR="00E10DF9" w:rsidRPr="001F2B93" w:rsidRDefault="00E10DF9" w:rsidP="001F2B93">
            <w:pPr>
              <w:rPr>
                <w:rFonts w:ascii="Arial" w:hAnsi="Arial" w:cs="Arial"/>
                <w:sz w:val="16"/>
                <w:szCs w:val="16"/>
              </w:rPr>
            </w:pPr>
            <w:r w:rsidRPr="001F2B93">
              <w:rPr>
                <w:rFonts w:ascii="Arial" w:hAnsi="Arial" w:cs="Arial"/>
                <w:sz w:val="16"/>
                <w:szCs w:val="16"/>
              </w:rPr>
              <w:t>10 mg/kg</w:t>
            </w:r>
          </w:p>
        </w:tc>
        <w:tc>
          <w:tcPr>
            <w:tcW w:w="1951" w:type="dxa"/>
          </w:tcPr>
          <w:p w14:paraId="4BFC830B" w14:textId="77777777" w:rsidR="00E10DF9" w:rsidRPr="001F2B93" w:rsidRDefault="00E10DF9" w:rsidP="001F2B93">
            <w:pPr>
              <w:rPr>
                <w:rFonts w:ascii="Arial" w:hAnsi="Arial" w:cs="Arial"/>
                <w:sz w:val="16"/>
                <w:szCs w:val="16"/>
              </w:rPr>
            </w:pPr>
            <w:r w:rsidRPr="001F2B93">
              <w:rPr>
                <w:rFonts w:ascii="Arial" w:hAnsi="Arial" w:cs="Arial"/>
                <w:sz w:val="16"/>
                <w:szCs w:val="16"/>
              </w:rPr>
              <w:t>Isolanti, non previsti</w:t>
            </w:r>
          </w:p>
        </w:tc>
        <w:tc>
          <w:tcPr>
            <w:tcW w:w="919" w:type="dxa"/>
          </w:tcPr>
          <w:p w14:paraId="313C2140" w14:textId="1386A813" w:rsidR="00E10DF9" w:rsidRPr="001F2B93" w:rsidRDefault="00E10DF9" w:rsidP="001F2B93">
            <w:pPr>
              <w:rPr>
                <w:rFonts w:ascii="Arial" w:hAnsi="Arial" w:cs="Arial"/>
                <w:sz w:val="16"/>
                <w:szCs w:val="16"/>
              </w:rPr>
            </w:pPr>
          </w:p>
        </w:tc>
        <w:tc>
          <w:tcPr>
            <w:tcW w:w="990" w:type="dxa"/>
          </w:tcPr>
          <w:p w14:paraId="6AD46F6F"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72C3F7B2"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630269F6"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3D11FF" w:rsidRPr="001F2B93" w14:paraId="7C064A6E" w14:textId="77777777" w:rsidTr="003D11FF">
        <w:trPr>
          <w:jc w:val="center"/>
        </w:trPr>
        <w:tc>
          <w:tcPr>
            <w:tcW w:w="394" w:type="dxa"/>
            <w:shd w:val="clear" w:color="auto" w:fill="FFE599" w:themeFill="accent4" w:themeFillTint="66"/>
          </w:tcPr>
          <w:p w14:paraId="540CB6A3" w14:textId="10E9E86A" w:rsidR="00E10DF9" w:rsidRPr="001F2B93" w:rsidRDefault="00E10DF9" w:rsidP="001F2B93">
            <w:pPr>
              <w:rPr>
                <w:rFonts w:ascii="Arial" w:hAnsi="Arial" w:cs="Arial"/>
                <w:sz w:val="16"/>
                <w:szCs w:val="16"/>
              </w:rPr>
            </w:pPr>
            <w:r>
              <w:rPr>
                <w:rFonts w:ascii="Arial" w:hAnsi="Arial" w:cs="Arial"/>
                <w:sz w:val="16"/>
                <w:szCs w:val="16"/>
              </w:rPr>
              <w:t>4</w:t>
            </w:r>
          </w:p>
        </w:tc>
        <w:tc>
          <w:tcPr>
            <w:tcW w:w="2164" w:type="dxa"/>
            <w:shd w:val="clear" w:color="auto" w:fill="FFE599" w:themeFill="accent4" w:themeFillTint="66"/>
          </w:tcPr>
          <w:p w14:paraId="3DBF74FD" w14:textId="2703B392" w:rsidR="00E10DF9" w:rsidRPr="001F2B93" w:rsidRDefault="00E10DF9" w:rsidP="001F2B93">
            <w:pPr>
              <w:rPr>
                <w:rFonts w:ascii="Arial" w:hAnsi="Arial" w:cs="Arial"/>
                <w:sz w:val="16"/>
                <w:szCs w:val="16"/>
              </w:rPr>
            </w:pPr>
            <w:r w:rsidRPr="001F2B93">
              <w:rPr>
                <w:rFonts w:ascii="Arial" w:hAnsi="Arial" w:cs="Arial"/>
                <w:sz w:val="16"/>
                <w:szCs w:val="16"/>
              </w:rPr>
              <w:t>Alcani, C10-C13, cloro (paraffine clorurate a catena corta) (SCCP)</w:t>
            </w:r>
          </w:p>
        </w:tc>
        <w:tc>
          <w:tcPr>
            <w:tcW w:w="804" w:type="dxa"/>
            <w:shd w:val="clear" w:color="auto" w:fill="FFE599" w:themeFill="accent4" w:themeFillTint="66"/>
          </w:tcPr>
          <w:p w14:paraId="74F7E2A7" w14:textId="77777777" w:rsidR="00E10DF9" w:rsidRPr="001F2B93" w:rsidRDefault="00E10DF9" w:rsidP="001F2B93">
            <w:pPr>
              <w:rPr>
                <w:rFonts w:ascii="Arial" w:hAnsi="Arial" w:cs="Arial"/>
                <w:sz w:val="16"/>
                <w:szCs w:val="16"/>
              </w:rPr>
            </w:pPr>
            <w:r w:rsidRPr="001F2B93">
              <w:rPr>
                <w:rFonts w:ascii="Arial" w:hAnsi="Arial" w:cs="Arial"/>
                <w:sz w:val="16"/>
                <w:szCs w:val="16"/>
              </w:rPr>
              <w:t>85535-84-8</w:t>
            </w:r>
          </w:p>
        </w:tc>
        <w:tc>
          <w:tcPr>
            <w:tcW w:w="617" w:type="dxa"/>
            <w:shd w:val="clear" w:color="auto" w:fill="FFE599" w:themeFill="accent4" w:themeFillTint="66"/>
          </w:tcPr>
          <w:p w14:paraId="64BF0B37" w14:textId="77777777" w:rsidR="00E10DF9" w:rsidRPr="001F2B93" w:rsidRDefault="00E10DF9" w:rsidP="001F2B93">
            <w:pPr>
              <w:rPr>
                <w:rFonts w:ascii="Arial" w:hAnsi="Arial" w:cs="Arial"/>
                <w:sz w:val="16"/>
                <w:szCs w:val="16"/>
              </w:rPr>
            </w:pPr>
            <w:r w:rsidRPr="001F2B93">
              <w:rPr>
                <w:rFonts w:ascii="Arial" w:hAnsi="Arial" w:cs="Arial"/>
                <w:sz w:val="16"/>
                <w:szCs w:val="16"/>
              </w:rPr>
              <w:t>287-476-5</w:t>
            </w:r>
          </w:p>
        </w:tc>
        <w:tc>
          <w:tcPr>
            <w:tcW w:w="1898" w:type="dxa"/>
            <w:shd w:val="clear" w:color="auto" w:fill="FFE599" w:themeFill="accent4" w:themeFillTint="66"/>
          </w:tcPr>
          <w:p w14:paraId="6DB207DE" w14:textId="77777777" w:rsidR="00E10DF9" w:rsidRPr="00E10DF9" w:rsidRDefault="00E10DF9" w:rsidP="00E10DF9">
            <w:pPr>
              <w:rPr>
                <w:rFonts w:ascii="Arial" w:hAnsi="Arial" w:cs="Arial"/>
                <w:sz w:val="16"/>
                <w:szCs w:val="16"/>
              </w:rPr>
            </w:pPr>
            <w:r w:rsidRPr="00E10DF9">
              <w:rPr>
                <w:rFonts w:ascii="Arial" w:hAnsi="Arial" w:cs="Arial"/>
                <w:sz w:val="16"/>
                <w:szCs w:val="16"/>
              </w:rPr>
              <w:t>1 500mg/kg</w:t>
            </w:r>
          </w:p>
          <w:p w14:paraId="101E2236" w14:textId="61E4CE6D" w:rsidR="00E10DF9" w:rsidRPr="001F2B93" w:rsidRDefault="00E10DF9" w:rsidP="00E10DF9">
            <w:pPr>
              <w:rPr>
                <w:rFonts w:ascii="Arial" w:hAnsi="Arial" w:cs="Arial"/>
                <w:sz w:val="16"/>
                <w:szCs w:val="16"/>
              </w:rPr>
            </w:pPr>
            <w:r w:rsidRPr="00E10DF9">
              <w:rPr>
                <w:rFonts w:ascii="Arial" w:hAnsi="Arial" w:cs="Arial"/>
                <w:sz w:val="16"/>
                <w:szCs w:val="16"/>
              </w:rPr>
              <w:t>La Commissione rivede tale limite di concentrazione e, se del caso, adotta una proposta legislativa per abbassarlo entro il 30 dicembre 2027</w:t>
            </w:r>
          </w:p>
        </w:tc>
        <w:tc>
          <w:tcPr>
            <w:tcW w:w="1951" w:type="dxa"/>
            <w:shd w:val="clear" w:color="auto" w:fill="FFE599" w:themeFill="accent4" w:themeFillTint="66"/>
          </w:tcPr>
          <w:p w14:paraId="6F13344D" w14:textId="77777777" w:rsidR="00E10DF9" w:rsidRPr="001F2B93" w:rsidRDefault="00E10DF9" w:rsidP="001F2B93">
            <w:pPr>
              <w:rPr>
                <w:rFonts w:ascii="Arial" w:hAnsi="Arial" w:cs="Arial"/>
                <w:sz w:val="16"/>
                <w:szCs w:val="16"/>
              </w:rPr>
            </w:pPr>
            <w:r w:rsidRPr="001F2B93">
              <w:rPr>
                <w:rFonts w:ascii="Arial" w:hAnsi="Arial" w:cs="Arial"/>
                <w:sz w:val="16"/>
                <w:szCs w:val="16"/>
              </w:rPr>
              <w:t>Plastificanti, ritardanti di fiamma, per pitture e componenti di leganti</w:t>
            </w:r>
          </w:p>
        </w:tc>
        <w:tc>
          <w:tcPr>
            <w:tcW w:w="919" w:type="dxa"/>
            <w:shd w:val="clear" w:color="auto" w:fill="FFE599" w:themeFill="accent4" w:themeFillTint="66"/>
          </w:tcPr>
          <w:p w14:paraId="4ECA6123" w14:textId="2FEA9F52" w:rsidR="00E10DF9" w:rsidRPr="001F2B93" w:rsidRDefault="00E10DF9" w:rsidP="001F2B93">
            <w:pPr>
              <w:rPr>
                <w:rFonts w:ascii="Arial" w:hAnsi="Arial" w:cs="Arial"/>
                <w:sz w:val="16"/>
                <w:szCs w:val="16"/>
              </w:rPr>
            </w:pPr>
          </w:p>
        </w:tc>
        <w:tc>
          <w:tcPr>
            <w:tcW w:w="990" w:type="dxa"/>
            <w:shd w:val="clear" w:color="auto" w:fill="FFE599" w:themeFill="accent4" w:themeFillTint="66"/>
          </w:tcPr>
          <w:p w14:paraId="44FD5C99" w14:textId="77777777" w:rsidR="00E10DF9" w:rsidRPr="001F2B93" w:rsidRDefault="00E10DF9" w:rsidP="001F2B93">
            <w:pPr>
              <w:rPr>
                <w:rFonts w:ascii="Arial" w:hAnsi="Arial" w:cs="Arial"/>
                <w:sz w:val="16"/>
                <w:szCs w:val="16"/>
              </w:rPr>
            </w:pPr>
            <w:r w:rsidRPr="001F2B93">
              <w:rPr>
                <w:rFonts w:ascii="Arial" w:hAnsi="Arial" w:cs="Arial"/>
                <w:sz w:val="16"/>
                <w:szCs w:val="16"/>
              </w:rPr>
              <w:t>SI (2008)</w:t>
            </w:r>
          </w:p>
        </w:tc>
        <w:tc>
          <w:tcPr>
            <w:tcW w:w="530" w:type="dxa"/>
            <w:shd w:val="clear" w:color="auto" w:fill="FFE599" w:themeFill="accent4" w:themeFillTint="66"/>
          </w:tcPr>
          <w:p w14:paraId="46D62E1A"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shd w:val="clear" w:color="auto" w:fill="FFE599" w:themeFill="accent4" w:themeFillTint="66"/>
          </w:tcPr>
          <w:p w14:paraId="21B37117"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03828F9E" w14:textId="77777777" w:rsidTr="00DC17E3">
        <w:trPr>
          <w:jc w:val="center"/>
        </w:trPr>
        <w:tc>
          <w:tcPr>
            <w:tcW w:w="394" w:type="dxa"/>
          </w:tcPr>
          <w:p w14:paraId="2D98D7F0" w14:textId="28F16188" w:rsidR="00E10DF9" w:rsidRPr="001F2B93" w:rsidRDefault="00E10DF9" w:rsidP="001F2B93">
            <w:pPr>
              <w:rPr>
                <w:rFonts w:ascii="Arial" w:hAnsi="Arial" w:cs="Arial"/>
                <w:sz w:val="16"/>
                <w:szCs w:val="16"/>
              </w:rPr>
            </w:pPr>
            <w:r>
              <w:rPr>
                <w:rFonts w:ascii="Arial" w:hAnsi="Arial" w:cs="Arial"/>
                <w:sz w:val="16"/>
                <w:szCs w:val="16"/>
              </w:rPr>
              <w:lastRenderedPageBreak/>
              <w:t>5</w:t>
            </w:r>
          </w:p>
        </w:tc>
        <w:tc>
          <w:tcPr>
            <w:tcW w:w="2164" w:type="dxa"/>
          </w:tcPr>
          <w:p w14:paraId="18625E51" w14:textId="06C779D0" w:rsidR="00E10DF9" w:rsidRPr="001F2B93" w:rsidRDefault="00E10DF9" w:rsidP="001F2B93">
            <w:pPr>
              <w:rPr>
                <w:rFonts w:ascii="Arial" w:hAnsi="Arial" w:cs="Arial"/>
                <w:sz w:val="16"/>
                <w:szCs w:val="16"/>
              </w:rPr>
            </w:pPr>
            <w:proofErr w:type="spellStart"/>
            <w:r w:rsidRPr="001F2B93">
              <w:rPr>
                <w:rFonts w:ascii="Arial" w:hAnsi="Arial" w:cs="Arial"/>
                <w:sz w:val="16"/>
                <w:szCs w:val="16"/>
              </w:rPr>
              <w:t>Tetrabromodifeniletere</w:t>
            </w:r>
            <w:proofErr w:type="spellEnd"/>
            <w:r w:rsidRPr="001F2B93">
              <w:rPr>
                <w:rFonts w:ascii="Arial" w:hAnsi="Arial" w:cs="Arial"/>
                <w:sz w:val="16"/>
                <w:szCs w:val="16"/>
              </w:rPr>
              <w:t xml:space="preserve"> C</w:t>
            </w:r>
            <w:r w:rsidRPr="001F2B93">
              <w:rPr>
                <w:rFonts w:ascii="Arial" w:hAnsi="Arial" w:cs="Arial"/>
                <w:sz w:val="16"/>
                <w:szCs w:val="16"/>
                <w:vertAlign w:val="subscript"/>
              </w:rPr>
              <w:t>12</w:t>
            </w:r>
            <w:r w:rsidRPr="001F2B93">
              <w:rPr>
                <w:rFonts w:ascii="Arial" w:hAnsi="Arial" w:cs="Arial"/>
                <w:sz w:val="16"/>
                <w:szCs w:val="16"/>
              </w:rPr>
              <w:t>H</w:t>
            </w:r>
            <w:r w:rsidRPr="001F2B93">
              <w:rPr>
                <w:rFonts w:ascii="Arial" w:hAnsi="Arial" w:cs="Arial"/>
                <w:sz w:val="16"/>
                <w:szCs w:val="16"/>
                <w:vertAlign w:val="subscript"/>
              </w:rPr>
              <w:t>6</w:t>
            </w:r>
            <w:r w:rsidRPr="001F2B93">
              <w:rPr>
                <w:rFonts w:ascii="Arial" w:hAnsi="Arial" w:cs="Arial"/>
                <w:sz w:val="16"/>
                <w:szCs w:val="16"/>
              </w:rPr>
              <w:t>Br</w:t>
            </w:r>
            <w:r w:rsidRPr="001F2B93">
              <w:rPr>
                <w:rFonts w:ascii="Arial" w:hAnsi="Arial" w:cs="Arial"/>
                <w:sz w:val="16"/>
                <w:szCs w:val="16"/>
                <w:vertAlign w:val="subscript"/>
              </w:rPr>
              <w:t>4</w:t>
            </w:r>
            <w:r w:rsidRPr="001F2B93">
              <w:rPr>
                <w:rFonts w:ascii="Arial" w:hAnsi="Arial" w:cs="Arial"/>
                <w:sz w:val="16"/>
                <w:szCs w:val="16"/>
              </w:rPr>
              <w:t>O</w:t>
            </w:r>
          </w:p>
        </w:tc>
        <w:tc>
          <w:tcPr>
            <w:tcW w:w="804" w:type="dxa"/>
          </w:tcPr>
          <w:p w14:paraId="10C902C0" w14:textId="77777777" w:rsidR="00E10DF9" w:rsidRPr="001F2B93" w:rsidRDefault="00E10DF9" w:rsidP="001F2B93">
            <w:pPr>
              <w:rPr>
                <w:rFonts w:ascii="Arial" w:hAnsi="Arial" w:cs="Arial"/>
                <w:sz w:val="16"/>
                <w:szCs w:val="16"/>
              </w:rPr>
            </w:pPr>
            <w:r w:rsidRPr="001F2B93">
              <w:rPr>
                <w:rFonts w:ascii="Arial" w:hAnsi="Arial" w:cs="Arial"/>
                <w:sz w:val="16"/>
                <w:szCs w:val="16"/>
              </w:rPr>
              <w:t>40088-47-9 e altri</w:t>
            </w:r>
          </w:p>
        </w:tc>
        <w:tc>
          <w:tcPr>
            <w:tcW w:w="617" w:type="dxa"/>
          </w:tcPr>
          <w:p w14:paraId="0A7B3182" w14:textId="77777777" w:rsidR="00E10DF9" w:rsidRPr="001F2B93" w:rsidRDefault="00E10DF9" w:rsidP="001F2B93">
            <w:pPr>
              <w:rPr>
                <w:rFonts w:ascii="Arial" w:hAnsi="Arial" w:cs="Arial"/>
                <w:sz w:val="16"/>
                <w:szCs w:val="16"/>
              </w:rPr>
            </w:pPr>
            <w:r w:rsidRPr="001F2B93">
              <w:rPr>
                <w:rFonts w:ascii="Arial" w:hAnsi="Arial" w:cs="Arial"/>
                <w:sz w:val="16"/>
                <w:szCs w:val="16"/>
              </w:rPr>
              <w:t>254-787-2 e altri</w:t>
            </w:r>
          </w:p>
        </w:tc>
        <w:tc>
          <w:tcPr>
            <w:tcW w:w="1898" w:type="dxa"/>
            <w:vMerge w:val="restart"/>
          </w:tcPr>
          <w:p w14:paraId="29AC245F" w14:textId="77777777" w:rsidR="00E10DF9" w:rsidRPr="00E10DF9" w:rsidRDefault="00E10DF9" w:rsidP="00E10DF9">
            <w:pPr>
              <w:spacing w:after="160" w:line="256" w:lineRule="auto"/>
              <w:jc w:val="both"/>
              <w:rPr>
                <w:rFonts w:ascii="Arial" w:eastAsia="Times New Roman" w:hAnsi="Arial" w:cs="Arial"/>
                <w:sz w:val="16"/>
                <w:szCs w:val="16"/>
                <w:lang w:eastAsia="it-IT"/>
              </w:rPr>
            </w:pPr>
            <w:r w:rsidRPr="00E10DF9">
              <w:rPr>
                <w:rFonts w:ascii="Arial" w:eastAsia="Times New Roman" w:hAnsi="Arial" w:cs="Arial"/>
                <w:sz w:val="16"/>
                <w:szCs w:val="16"/>
                <w:lang w:eastAsia="it-IT"/>
              </w:rPr>
              <w:t xml:space="preserve">Somma delle concentrazioni di </w:t>
            </w:r>
            <w:proofErr w:type="spellStart"/>
            <w:r w:rsidRPr="00E10DF9">
              <w:rPr>
                <w:rFonts w:ascii="Arial" w:eastAsia="Times New Roman" w:hAnsi="Arial" w:cs="Arial"/>
                <w:sz w:val="16"/>
                <w:szCs w:val="16"/>
                <w:lang w:eastAsia="it-IT"/>
              </w:rPr>
              <w:t>tetrabromodifeniletere</w:t>
            </w:r>
            <w:proofErr w:type="spellEnd"/>
            <w:r w:rsidRPr="00E10DF9">
              <w:rPr>
                <w:rFonts w:ascii="Arial" w:eastAsia="Times New Roman" w:hAnsi="Arial" w:cs="Arial"/>
                <w:sz w:val="16"/>
                <w:szCs w:val="16"/>
                <w:lang w:eastAsia="it-IT"/>
              </w:rPr>
              <w:t xml:space="preserve"> C</w:t>
            </w:r>
            <w:r w:rsidRPr="00E10DF9">
              <w:rPr>
                <w:rFonts w:ascii="Arial" w:eastAsia="Times New Roman" w:hAnsi="Arial" w:cs="Arial"/>
                <w:sz w:val="16"/>
                <w:szCs w:val="16"/>
                <w:vertAlign w:val="subscript"/>
                <w:lang w:eastAsia="it-IT"/>
              </w:rPr>
              <w:t>12</w:t>
            </w:r>
            <w:r w:rsidRPr="00E10DF9">
              <w:rPr>
                <w:rFonts w:ascii="Arial" w:eastAsia="Times New Roman" w:hAnsi="Arial" w:cs="Arial"/>
                <w:sz w:val="16"/>
                <w:szCs w:val="16"/>
                <w:lang w:eastAsia="it-IT"/>
              </w:rPr>
              <w:t>H</w:t>
            </w:r>
            <w:r w:rsidRPr="00E10DF9">
              <w:rPr>
                <w:rFonts w:ascii="Arial" w:eastAsia="Times New Roman" w:hAnsi="Arial" w:cs="Arial"/>
                <w:sz w:val="16"/>
                <w:szCs w:val="16"/>
                <w:vertAlign w:val="subscript"/>
                <w:lang w:eastAsia="it-IT"/>
              </w:rPr>
              <w:t>6</w:t>
            </w:r>
            <w:r w:rsidRPr="00E10DF9">
              <w:rPr>
                <w:rFonts w:ascii="Arial" w:eastAsia="Times New Roman" w:hAnsi="Arial" w:cs="Arial"/>
                <w:sz w:val="16"/>
                <w:szCs w:val="16"/>
                <w:lang w:eastAsia="it-IT"/>
              </w:rPr>
              <w:t>Br</w:t>
            </w:r>
            <w:r w:rsidRPr="00E10DF9">
              <w:rPr>
                <w:rFonts w:ascii="Arial" w:eastAsia="Times New Roman" w:hAnsi="Arial" w:cs="Arial"/>
                <w:sz w:val="16"/>
                <w:szCs w:val="16"/>
                <w:vertAlign w:val="subscript"/>
                <w:lang w:eastAsia="it-IT"/>
              </w:rPr>
              <w:t>4</w:t>
            </w:r>
            <w:r w:rsidRPr="00E10DF9">
              <w:rPr>
                <w:rFonts w:ascii="Arial" w:eastAsia="Times New Roman" w:hAnsi="Arial" w:cs="Arial"/>
                <w:sz w:val="16"/>
                <w:szCs w:val="16"/>
                <w:lang w:eastAsia="it-IT"/>
              </w:rPr>
              <w:t xml:space="preserve">O, </w:t>
            </w:r>
            <w:proofErr w:type="spellStart"/>
            <w:r w:rsidRPr="00E10DF9">
              <w:rPr>
                <w:rFonts w:ascii="Arial" w:eastAsia="Times New Roman" w:hAnsi="Arial" w:cs="Arial"/>
                <w:sz w:val="16"/>
                <w:szCs w:val="16"/>
                <w:lang w:eastAsia="it-IT"/>
              </w:rPr>
              <w:t>pentabromodifeniletere</w:t>
            </w:r>
            <w:proofErr w:type="spellEnd"/>
            <w:r w:rsidRPr="00E10DF9">
              <w:rPr>
                <w:rFonts w:ascii="Arial" w:eastAsia="Times New Roman" w:hAnsi="Arial" w:cs="Arial"/>
                <w:sz w:val="16"/>
                <w:szCs w:val="16"/>
                <w:lang w:eastAsia="it-IT"/>
              </w:rPr>
              <w:t xml:space="preserve"> C</w:t>
            </w:r>
            <w:r w:rsidRPr="00E10DF9">
              <w:rPr>
                <w:rFonts w:ascii="Arial" w:eastAsia="Times New Roman" w:hAnsi="Arial" w:cs="Arial"/>
                <w:sz w:val="16"/>
                <w:szCs w:val="16"/>
                <w:vertAlign w:val="subscript"/>
                <w:lang w:eastAsia="it-IT"/>
              </w:rPr>
              <w:t>12</w:t>
            </w:r>
            <w:r w:rsidRPr="00E10DF9">
              <w:rPr>
                <w:rFonts w:ascii="Arial" w:eastAsia="Times New Roman" w:hAnsi="Arial" w:cs="Arial"/>
                <w:sz w:val="16"/>
                <w:szCs w:val="16"/>
                <w:lang w:eastAsia="it-IT"/>
              </w:rPr>
              <w:t>H</w:t>
            </w:r>
            <w:r w:rsidRPr="00E10DF9">
              <w:rPr>
                <w:rFonts w:ascii="Arial" w:eastAsia="Times New Roman" w:hAnsi="Arial" w:cs="Arial"/>
                <w:sz w:val="16"/>
                <w:szCs w:val="16"/>
                <w:vertAlign w:val="subscript"/>
                <w:lang w:eastAsia="it-IT"/>
              </w:rPr>
              <w:t>5</w:t>
            </w:r>
            <w:r w:rsidRPr="00E10DF9">
              <w:rPr>
                <w:rFonts w:ascii="Arial" w:eastAsia="Times New Roman" w:hAnsi="Arial" w:cs="Arial"/>
                <w:sz w:val="16"/>
                <w:szCs w:val="16"/>
                <w:lang w:eastAsia="it-IT"/>
              </w:rPr>
              <w:t>Br</w:t>
            </w:r>
            <w:r w:rsidRPr="00E10DF9">
              <w:rPr>
                <w:rFonts w:ascii="Arial" w:eastAsia="Times New Roman" w:hAnsi="Arial" w:cs="Arial"/>
                <w:sz w:val="16"/>
                <w:szCs w:val="16"/>
                <w:vertAlign w:val="subscript"/>
                <w:lang w:eastAsia="it-IT"/>
              </w:rPr>
              <w:t>5</w:t>
            </w:r>
            <w:r w:rsidRPr="00E10DF9">
              <w:rPr>
                <w:rFonts w:ascii="Arial" w:eastAsia="Times New Roman" w:hAnsi="Arial" w:cs="Arial"/>
                <w:sz w:val="16"/>
                <w:szCs w:val="16"/>
                <w:lang w:eastAsia="it-IT"/>
              </w:rPr>
              <w:t xml:space="preserve">O, </w:t>
            </w:r>
            <w:proofErr w:type="spellStart"/>
            <w:r w:rsidRPr="00E10DF9">
              <w:rPr>
                <w:rFonts w:ascii="Arial" w:eastAsia="Times New Roman" w:hAnsi="Arial" w:cs="Arial"/>
                <w:sz w:val="16"/>
                <w:szCs w:val="16"/>
                <w:lang w:eastAsia="it-IT"/>
              </w:rPr>
              <w:t>esabromodifeniletere</w:t>
            </w:r>
            <w:proofErr w:type="spellEnd"/>
            <w:r w:rsidRPr="00E10DF9">
              <w:rPr>
                <w:rFonts w:ascii="Arial" w:eastAsia="Times New Roman" w:hAnsi="Arial" w:cs="Arial"/>
                <w:sz w:val="16"/>
                <w:szCs w:val="16"/>
                <w:lang w:eastAsia="it-IT"/>
              </w:rPr>
              <w:t xml:space="preserve"> C</w:t>
            </w:r>
            <w:r w:rsidRPr="00E10DF9">
              <w:rPr>
                <w:rFonts w:ascii="Arial" w:eastAsia="Times New Roman" w:hAnsi="Arial" w:cs="Arial"/>
                <w:sz w:val="16"/>
                <w:szCs w:val="16"/>
                <w:vertAlign w:val="subscript"/>
                <w:lang w:eastAsia="it-IT"/>
              </w:rPr>
              <w:t>12</w:t>
            </w:r>
            <w:r w:rsidRPr="00E10DF9">
              <w:rPr>
                <w:rFonts w:ascii="Arial" w:eastAsia="Times New Roman" w:hAnsi="Arial" w:cs="Arial"/>
                <w:sz w:val="16"/>
                <w:szCs w:val="16"/>
                <w:lang w:eastAsia="it-IT"/>
              </w:rPr>
              <w:t>H</w:t>
            </w:r>
            <w:r w:rsidRPr="00E10DF9">
              <w:rPr>
                <w:rFonts w:ascii="Arial" w:eastAsia="Times New Roman" w:hAnsi="Arial" w:cs="Arial"/>
                <w:sz w:val="16"/>
                <w:szCs w:val="16"/>
                <w:vertAlign w:val="subscript"/>
                <w:lang w:eastAsia="it-IT"/>
              </w:rPr>
              <w:t>4</w:t>
            </w:r>
            <w:r w:rsidRPr="00E10DF9">
              <w:rPr>
                <w:rFonts w:ascii="Arial" w:eastAsia="Times New Roman" w:hAnsi="Arial" w:cs="Arial"/>
                <w:sz w:val="16"/>
                <w:szCs w:val="16"/>
                <w:lang w:eastAsia="it-IT"/>
              </w:rPr>
              <w:t>Br</w:t>
            </w:r>
            <w:r w:rsidRPr="00E10DF9">
              <w:rPr>
                <w:rFonts w:ascii="Arial" w:eastAsia="Times New Roman" w:hAnsi="Arial" w:cs="Arial"/>
                <w:sz w:val="16"/>
                <w:szCs w:val="16"/>
                <w:vertAlign w:val="subscript"/>
                <w:lang w:eastAsia="it-IT"/>
              </w:rPr>
              <w:t>6</w:t>
            </w:r>
            <w:r w:rsidRPr="00E10DF9">
              <w:rPr>
                <w:rFonts w:ascii="Arial" w:eastAsia="Times New Roman" w:hAnsi="Arial" w:cs="Arial"/>
                <w:sz w:val="16"/>
                <w:szCs w:val="16"/>
                <w:lang w:eastAsia="it-IT"/>
              </w:rPr>
              <w:t xml:space="preserve">O, </w:t>
            </w:r>
            <w:proofErr w:type="spellStart"/>
            <w:r w:rsidRPr="00E10DF9">
              <w:rPr>
                <w:rFonts w:ascii="Arial" w:eastAsia="Times New Roman" w:hAnsi="Arial" w:cs="Arial"/>
                <w:sz w:val="16"/>
                <w:szCs w:val="16"/>
                <w:lang w:eastAsia="it-IT"/>
              </w:rPr>
              <w:t>eptabromodifeniletere</w:t>
            </w:r>
            <w:proofErr w:type="spellEnd"/>
            <w:r w:rsidRPr="00E10DF9">
              <w:rPr>
                <w:rFonts w:ascii="Arial" w:eastAsia="Times New Roman" w:hAnsi="Arial" w:cs="Arial"/>
                <w:sz w:val="16"/>
                <w:szCs w:val="16"/>
                <w:lang w:eastAsia="it-IT"/>
              </w:rPr>
              <w:t xml:space="preserve"> C</w:t>
            </w:r>
            <w:r w:rsidRPr="00E10DF9">
              <w:rPr>
                <w:rFonts w:ascii="Arial" w:eastAsia="Times New Roman" w:hAnsi="Arial" w:cs="Arial"/>
                <w:sz w:val="16"/>
                <w:szCs w:val="16"/>
                <w:vertAlign w:val="subscript"/>
                <w:lang w:eastAsia="it-IT"/>
              </w:rPr>
              <w:t>12</w:t>
            </w:r>
            <w:r w:rsidRPr="00E10DF9">
              <w:rPr>
                <w:rFonts w:ascii="Arial" w:eastAsia="Times New Roman" w:hAnsi="Arial" w:cs="Arial"/>
                <w:sz w:val="16"/>
                <w:szCs w:val="16"/>
                <w:lang w:eastAsia="it-IT"/>
              </w:rPr>
              <w:t>H</w:t>
            </w:r>
            <w:r w:rsidRPr="00E10DF9">
              <w:rPr>
                <w:rFonts w:ascii="Arial" w:eastAsia="Times New Roman" w:hAnsi="Arial" w:cs="Arial"/>
                <w:sz w:val="16"/>
                <w:szCs w:val="16"/>
                <w:vertAlign w:val="subscript"/>
                <w:lang w:eastAsia="it-IT"/>
              </w:rPr>
              <w:t>3</w:t>
            </w:r>
            <w:r w:rsidRPr="00E10DF9">
              <w:rPr>
                <w:rFonts w:ascii="Arial" w:eastAsia="Times New Roman" w:hAnsi="Arial" w:cs="Arial"/>
                <w:sz w:val="16"/>
                <w:szCs w:val="16"/>
                <w:lang w:eastAsia="it-IT"/>
              </w:rPr>
              <w:t>Br</w:t>
            </w:r>
            <w:r w:rsidRPr="00E10DF9">
              <w:rPr>
                <w:rFonts w:ascii="Arial" w:eastAsia="Times New Roman" w:hAnsi="Arial" w:cs="Arial"/>
                <w:sz w:val="16"/>
                <w:szCs w:val="16"/>
                <w:vertAlign w:val="subscript"/>
                <w:lang w:eastAsia="it-IT"/>
              </w:rPr>
              <w:t>7</w:t>
            </w:r>
            <w:r w:rsidRPr="00E10DF9">
              <w:rPr>
                <w:rFonts w:ascii="Arial" w:eastAsia="Times New Roman" w:hAnsi="Arial" w:cs="Arial"/>
                <w:sz w:val="16"/>
                <w:szCs w:val="16"/>
                <w:lang w:eastAsia="it-IT"/>
              </w:rPr>
              <w:t xml:space="preserve">O and </w:t>
            </w:r>
            <w:proofErr w:type="spellStart"/>
            <w:r w:rsidRPr="00E10DF9">
              <w:rPr>
                <w:rFonts w:ascii="Arial" w:eastAsia="Times New Roman" w:hAnsi="Arial" w:cs="Arial"/>
                <w:sz w:val="16"/>
                <w:szCs w:val="16"/>
                <w:lang w:eastAsia="it-IT"/>
              </w:rPr>
              <w:t>decabromodifeniletere</w:t>
            </w:r>
            <w:proofErr w:type="spellEnd"/>
            <w:r w:rsidRPr="00E10DF9">
              <w:rPr>
                <w:rFonts w:ascii="Arial" w:eastAsia="Times New Roman" w:hAnsi="Arial" w:cs="Arial"/>
                <w:sz w:val="16"/>
                <w:szCs w:val="16"/>
                <w:lang w:eastAsia="it-IT"/>
              </w:rPr>
              <w:t xml:space="preserve"> C</w:t>
            </w:r>
            <w:r w:rsidRPr="00E10DF9">
              <w:rPr>
                <w:rFonts w:ascii="Arial" w:eastAsia="Times New Roman" w:hAnsi="Arial" w:cs="Arial"/>
                <w:sz w:val="16"/>
                <w:szCs w:val="16"/>
                <w:vertAlign w:val="subscript"/>
                <w:lang w:eastAsia="it-IT"/>
              </w:rPr>
              <w:t>12</w:t>
            </w:r>
            <w:r w:rsidRPr="00E10DF9">
              <w:rPr>
                <w:rFonts w:ascii="Arial" w:eastAsia="Times New Roman" w:hAnsi="Arial" w:cs="Arial"/>
                <w:sz w:val="16"/>
                <w:szCs w:val="16"/>
                <w:lang w:eastAsia="it-IT"/>
              </w:rPr>
              <w:t>Br</w:t>
            </w:r>
            <w:r w:rsidRPr="00E10DF9">
              <w:rPr>
                <w:rFonts w:ascii="Arial" w:eastAsia="Times New Roman" w:hAnsi="Arial" w:cs="Arial"/>
                <w:sz w:val="16"/>
                <w:szCs w:val="16"/>
                <w:vertAlign w:val="subscript"/>
                <w:lang w:eastAsia="it-IT"/>
              </w:rPr>
              <w:t>10</w:t>
            </w:r>
            <w:r w:rsidRPr="00E10DF9">
              <w:rPr>
                <w:rFonts w:ascii="Arial" w:eastAsia="Times New Roman" w:hAnsi="Arial" w:cs="Arial"/>
                <w:sz w:val="16"/>
                <w:szCs w:val="16"/>
                <w:lang w:eastAsia="it-IT"/>
              </w:rPr>
              <w:t>O:</w:t>
            </w:r>
          </w:p>
          <w:p w14:paraId="4BFC087C" w14:textId="77777777" w:rsidR="00E10DF9" w:rsidRPr="00E10DF9" w:rsidRDefault="00E10DF9" w:rsidP="00E10DF9">
            <w:pPr>
              <w:spacing w:after="160" w:line="256" w:lineRule="auto"/>
              <w:jc w:val="both"/>
              <w:rPr>
                <w:rFonts w:ascii="Arial" w:eastAsia="Times New Roman" w:hAnsi="Arial" w:cs="Arial"/>
                <w:sz w:val="16"/>
                <w:szCs w:val="16"/>
                <w:lang w:eastAsia="it-IT"/>
              </w:rPr>
            </w:pPr>
            <w:r w:rsidRPr="00E10DF9">
              <w:rPr>
                <w:rFonts w:ascii="Arial" w:eastAsia="Times New Roman" w:hAnsi="Arial" w:cs="Arial"/>
                <w:sz w:val="16"/>
                <w:szCs w:val="16"/>
                <w:lang w:eastAsia="it-IT"/>
              </w:rPr>
              <w:t>a) fino al 29 dicembre 2027, 500 mg/kg;</w:t>
            </w:r>
          </w:p>
          <w:p w14:paraId="1EDE4AD3" w14:textId="77777777" w:rsidR="00E10DF9" w:rsidRPr="00E10DF9" w:rsidRDefault="00E10DF9" w:rsidP="00E10DF9">
            <w:pPr>
              <w:spacing w:after="160" w:line="256" w:lineRule="auto"/>
              <w:jc w:val="both"/>
              <w:rPr>
                <w:rFonts w:ascii="Arial" w:eastAsia="Times New Roman" w:hAnsi="Arial" w:cs="Arial"/>
                <w:sz w:val="16"/>
                <w:szCs w:val="16"/>
                <w:lang w:eastAsia="it-IT"/>
              </w:rPr>
            </w:pPr>
            <w:r w:rsidRPr="00E10DF9">
              <w:rPr>
                <w:rFonts w:ascii="Arial" w:eastAsia="Times New Roman" w:hAnsi="Arial" w:cs="Arial"/>
                <w:sz w:val="16"/>
                <w:szCs w:val="16"/>
                <w:lang w:eastAsia="it-IT"/>
              </w:rPr>
              <w:t>b) a decorrere dal 30 dicembre 2025fino al 28 dicembre 2027, 350 mg/kg o, se superiore, la somma della concentrazione di tali sostanze, quando sono</w:t>
            </w:r>
            <w:r w:rsidRPr="00E10DF9">
              <w:rPr>
                <w:rFonts w:ascii="Arial" w:eastAsia="Times New Roman" w:hAnsi="Arial" w:cs="Arial"/>
                <w:lang w:eastAsia="it-IT"/>
              </w:rPr>
              <w:t xml:space="preserve"> </w:t>
            </w:r>
            <w:r w:rsidRPr="00E10DF9">
              <w:rPr>
                <w:rFonts w:ascii="Arial" w:eastAsia="Times New Roman" w:hAnsi="Arial" w:cs="Arial"/>
                <w:sz w:val="16"/>
                <w:szCs w:val="16"/>
                <w:lang w:eastAsia="it-IT"/>
              </w:rPr>
              <w:t xml:space="preserve">presenti in miscele o articoli, come indicato nell’allegato I, quarta colonna, punto 2, per le sostanze </w:t>
            </w:r>
            <w:proofErr w:type="spellStart"/>
            <w:r w:rsidRPr="00E10DF9">
              <w:rPr>
                <w:rFonts w:ascii="Arial" w:eastAsia="Times New Roman" w:hAnsi="Arial" w:cs="Arial"/>
                <w:sz w:val="16"/>
                <w:szCs w:val="16"/>
                <w:lang w:eastAsia="it-IT"/>
              </w:rPr>
              <w:t>tetrabromodifeniletere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pentabromodifeniletere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esabromodifeniletere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eptabromodifeniletere</w:t>
            </w:r>
            <w:proofErr w:type="spellEnd"/>
            <w:r w:rsidRPr="00E10DF9">
              <w:rPr>
                <w:rFonts w:ascii="Arial" w:eastAsia="Times New Roman" w:hAnsi="Arial" w:cs="Arial"/>
                <w:sz w:val="16"/>
                <w:szCs w:val="16"/>
                <w:lang w:eastAsia="it-IT"/>
              </w:rPr>
              <w:t xml:space="preserve"> e </w:t>
            </w:r>
            <w:proofErr w:type="spellStart"/>
            <w:r w:rsidRPr="00E10DF9">
              <w:rPr>
                <w:rFonts w:ascii="Arial" w:eastAsia="Times New Roman" w:hAnsi="Arial" w:cs="Arial"/>
                <w:sz w:val="16"/>
                <w:szCs w:val="16"/>
                <w:lang w:eastAsia="it-IT"/>
              </w:rPr>
              <w:t>decabromodifeniletere</w:t>
            </w:r>
            <w:proofErr w:type="spellEnd"/>
            <w:r w:rsidRPr="00E10DF9">
              <w:rPr>
                <w:rFonts w:ascii="Arial" w:eastAsia="Times New Roman" w:hAnsi="Arial" w:cs="Arial"/>
                <w:sz w:val="16"/>
                <w:szCs w:val="16"/>
                <w:lang w:eastAsia="it-IT"/>
              </w:rPr>
              <w:t>;</w:t>
            </w:r>
          </w:p>
          <w:p w14:paraId="1547D6CD" w14:textId="50E948F5" w:rsidR="00E10DF9" w:rsidRPr="001F2B93" w:rsidRDefault="00E10DF9" w:rsidP="00E10DF9">
            <w:pPr>
              <w:rPr>
                <w:rFonts w:ascii="Arial" w:hAnsi="Arial" w:cs="Arial"/>
                <w:sz w:val="16"/>
                <w:szCs w:val="16"/>
              </w:rPr>
            </w:pPr>
            <w:r w:rsidRPr="00E10DF9">
              <w:rPr>
                <w:rFonts w:ascii="Arial" w:eastAsia="Times New Roman" w:hAnsi="Arial" w:cs="Arial"/>
                <w:sz w:val="16"/>
                <w:szCs w:val="16"/>
                <w:lang w:eastAsia="it-IT"/>
              </w:rPr>
              <w:t xml:space="preserve">c) a decorrere dal 30 dicembre 2027, 200 mg/kg o, se superiore, la somma della concentrazione di tali sostanze, quando sono presenti in miscele o articoli, come indicato nell’allegato I, quarta colonna, punto 2, per le sostanze </w:t>
            </w:r>
            <w:proofErr w:type="spellStart"/>
            <w:r w:rsidRPr="00E10DF9">
              <w:rPr>
                <w:rFonts w:ascii="Arial" w:eastAsia="Times New Roman" w:hAnsi="Arial" w:cs="Arial"/>
                <w:sz w:val="16"/>
                <w:szCs w:val="16"/>
                <w:lang w:eastAsia="it-IT"/>
              </w:rPr>
              <w:t>tetrabromodifeniletere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pentabromodifeniletere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esabromodifeniletere</w:t>
            </w:r>
            <w:proofErr w:type="spellEnd"/>
            <w:r w:rsidRPr="00E10DF9">
              <w:rPr>
                <w:rFonts w:ascii="Arial" w:eastAsia="Times New Roman" w:hAnsi="Arial" w:cs="Arial"/>
                <w:sz w:val="16"/>
                <w:szCs w:val="16"/>
                <w:lang w:eastAsia="it-IT"/>
              </w:rPr>
              <w:t xml:space="preserve">, </w:t>
            </w:r>
            <w:proofErr w:type="spellStart"/>
            <w:r w:rsidRPr="00E10DF9">
              <w:rPr>
                <w:rFonts w:ascii="Arial" w:eastAsia="Times New Roman" w:hAnsi="Arial" w:cs="Arial"/>
                <w:sz w:val="16"/>
                <w:szCs w:val="16"/>
                <w:lang w:eastAsia="it-IT"/>
              </w:rPr>
              <w:t>eptabromodifeniletere</w:t>
            </w:r>
            <w:proofErr w:type="spellEnd"/>
            <w:r w:rsidRPr="00E10DF9">
              <w:rPr>
                <w:rFonts w:ascii="Arial" w:eastAsia="Times New Roman" w:hAnsi="Arial" w:cs="Arial"/>
                <w:sz w:val="16"/>
                <w:szCs w:val="16"/>
                <w:lang w:eastAsia="it-IT"/>
              </w:rPr>
              <w:t xml:space="preserve"> e </w:t>
            </w:r>
            <w:proofErr w:type="spellStart"/>
            <w:r w:rsidRPr="00E10DF9">
              <w:rPr>
                <w:rFonts w:ascii="Arial" w:eastAsia="Times New Roman" w:hAnsi="Arial" w:cs="Arial"/>
                <w:sz w:val="16"/>
                <w:szCs w:val="16"/>
                <w:lang w:eastAsia="it-IT"/>
              </w:rPr>
              <w:t>decabromodifeniletere</w:t>
            </w:r>
            <w:proofErr w:type="spellEnd"/>
          </w:p>
        </w:tc>
        <w:tc>
          <w:tcPr>
            <w:tcW w:w="1951" w:type="dxa"/>
            <w:vMerge w:val="restart"/>
          </w:tcPr>
          <w:p w14:paraId="00082F1F" w14:textId="77777777" w:rsidR="00E10DF9" w:rsidRPr="001F2B93" w:rsidRDefault="00E10DF9" w:rsidP="001F2B93">
            <w:pPr>
              <w:rPr>
                <w:rFonts w:ascii="Arial" w:hAnsi="Arial" w:cs="Arial"/>
                <w:sz w:val="16"/>
                <w:szCs w:val="16"/>
              </w:rPr>
            </w:pPr>
            <w:r w:rsidRPr="001F2B93">
              <w:rPr>
                <w:rFonts w:ascii="Arial" w:hAnsi="Arial" w:cs="Arial"/>
                <w:sz w:val="16"/>
                <w:szCs w:val="16"/>
              </w:rPr>
              <w:t>Ritardanti di fiamma</w:t>
            </w:r>
          </w:p>
        </w:tc>
        <w:tc>
          <w:tcPr>
            <w:tcW w:w="919" w:type="dxa"/>
          </w:tcPr>
          <w:p w14:paraId="55047806" w14:textId="56EECC07" w:rsidR="00E10DF9" w:rsidRPr="001F2B93" w:rsidRDefault="00E10DF9" w:rsidP="001F2B93">
            <w:pPr>
              <w:rPr>
                <w:rFonts w:ascii="Arial" w:hAnsi="Arial" w:cs="Arial"/>
                <w:sz w:val="16"/>
                <w:szCs w:val="16"/>
              </w:rPr>
            </w:pPr>
          </w:p>
        </w:tc>
        <w:tc>
          <w:tcPr>
            <w:tcW w:w="990" w:type="dxa"/>
          </w:tcPr>
          <w:p w14:paraId="277D6E20"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11F690FA"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3B248802"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08F7192E" w14:textId="77777777" w:rsidTr="00DC17E3">
        <w:trPr>
          <w:jc w:val="center"/>
        </w:trPr>
        <w:tc>
          <w:tcPr>
            <w:tcW w:w="394" w:type="dxa"/>
          </w:tcPr>
          <w:p w14:paraId="4321ED0A" w14:textId="4F376104" w:rsidR="00E10DF9" w:rsidRPr="001F2B93" w:rsidRDefault="00E10DF9" w:rsidP="001F2B93">
            <w:pPr>
              <w:rPr>
                <w:rFonts w:ascii="Arial" w:hAnsi="Arial" w:cs="Arial"/>
                <w:sz w:val="16"/>
                <w:szCs w:val="16"/>
              </w:rPr>
            </w:pPr>
            <w:r>
              <w:rPr>
                <w:rFonts w:ascii="Arial" w:hAnsi="Arial" w:cs="Arial"/>
                <w:sz w:val="16"/>
                <w:szCs w:val="16"/>
              </w:rPr>
              <w:t>6</w:t>
            </w:r>
          </w:p>
        </w:tc>
        <w:tc>
          <w:tcPr>
            <w:tcW w:w="2164" w:type="dxa"/>
          </w:tcPr>
          <w:p w14:paraId="42CC608A" w14:textId="5BA0CE94" w:rsidR="00E10DF9" w:rsidRPr="001F2B93" w:rsidRDefault="00E10DF9" w:rsidP="001F2B93">
            <w:pPr>
              <w:rPr>
                <w:rFonts w:ascii="Arial" w:hAnsi="Arial" w:cs="Arial"/>
                <w:sz w:val="16"/>
                <w:szCs w:val="16"/>
              </w:rPr>
            </w:pPr>
            <w:proofErr w:type="spellStart"/>
            <w:r w:rsidRPr="001F2B93">
              <w:rPr>
                <w:rFonts w:ascii="Arial" w:hAnsi="Arial" w:cs="Arial"/>
                <w:sz w:val="16"/>
                <w:szCs w:val="16"/>
              </w:rPr>
              <w:t>Pentabromodifeniletere</w:t>
            </w:r>
            <w:proofErr w:type="spellEnd"/>
            <w:r w:rsidRPr="001F2B93">
              <w:rPr>
                <w:rFonts w:ascii="Arial" w:hAnsi="Arial" w:cs="Arial"/>
                <w:sz w:val="16"/>
                <w:szCs w:val="16"/>
              </w:rPr>
              <w:t xml:space="preserve"> C</w:t>
            </w:r>
            <w:r w:rsidRPr="001F2B93">
              <w:rPr>
                <w:rFonts w:ascii="Arial" w:hAnsi="Arial" w:cs="Arial"/>
                <w:sz w:val="16"/>
                <w:szCs w:val="16"/>
                <w:vertAlign w:val="subscript"/>
              </w:rPr>
              <w:t>12</w:t>
            </w:r>
            <w:r w:rsidRPr="001F2B93">
              <w:rPr>
                <w:rFonts w:ascii="Arial" w:hAnsi="Arial" w:cs="Arial"/>
                <w:sz w:val="16"/>
                <w:szCs w:val="16"/>
              </w:rPr>
              <w:t>H</w:t>
            </w:r>
            <w:r w:rsidRPr="001F2B93">
              <w:rPr>
                <w:rFonts w:ascii="Arial" w:hAnsi="Arial" w:cs="Arial"/>
                <w:sz w:val="16"/>
                <w:szCs w:val="16"/>
                <w:vertAlign w:val="subscript"/>
              </w:rPr>
              <w:t>5</w:t>
            </w:r>
            <w:r w:rsidRPr="001F2B93">
              <w:rPr>
                <w:rFonts w:ascii="Arial" w:hAnsi="Arial" w:cs="Arial"/>
                <w:sz w:val="16"/>
                <w:szCs w:val="16"/>
              </w:rPr>
              <w:t>Br</w:t>
            </w:r>
            <w:r w:rsidRPr="001F2B93">
              <w:rPr>
                <w:rFonts w:ascii="Arial" w:hAnsi="Arial" w:cs="Arial"/>
                <w:sz w:val="16"/>
                <w:szCs w:val="16"/>
                <w:vertAlign w:val="subscript"/>
              </w:rPr>
              <w:t>5</w:t>
            </w:r>
            <w:r w:rsidRPr="001F2B93">
              <w:rPr>
                <w:rFonts w:ascii="Arial" w:hAnsi="Arial" w:cs="Arial"/>
                <w:sz w:val="16"/>
                <w:szCs w:val="16"/>
              </w:rPr>
              <w:t>O</w:t>
            </w:r>
          </w:p>
        </w:tc>
        <w:tc>
          <w:tcPr>
            <w:tcW w:w="804" w:type="dxa"/>
          </w:tcPr>
          <w:p w14:paraId="35A05431" w14:textId="77777777" w:rsidR="00E10DF9" w:rsidRPr="001F2B93" w:rsidRDefault="00E10DF9" w:rsidP="001F2B93">
            <w:pPr>
              <w:rPr>
                <w:rFonts w:ascii="Arial" w:hAnsi="Arial" w:cs="Arial"/>
                <w:sz w:val="16"/>
                <w:szCs w:val="16"/>
              </w:rPr>
            </w:pPr>
            <w:r w:rsidRPr="001F2B93">
              <w:rPr>
                <w:rFonts w:ascii="Arial" w:hAnsi="Arial" w:cs="Arial"/>
                <w:sz w:val="16"/>
                <w:szCs w:val="16"/>
              </w:rPr>
              <w:t>32534-81-9 e altri</w:t>
            </w:r>
          </w:p>
        </w:tc>
        <w:tc>
          <w:tcPr>
            <w:tcW w:w="617" w:type="dxa"/>
          </w:tcPr>
          <w:p w14:paraId="62CAAF45" w14:textId="77777777" w:rsidR="00E10DF9" w:rsidRPr="001F2B93" w:rsidRDefault="00E10DF9" w:rsidP="001F2B93">
            <w:pPr>
              <w:rPr>
                <w:rFonts w:ascii="Arial" w:hAnsi="Arial" w:cs="Arial"/>
                <w:sz w:val="16"/>
                <w:szCs w:val="16"/>
              </w:rPr>
            </w:pPr>
            <w:r w:rsidRPr="001F2B93">
              <w:rPr>
                <w:rFonts w:ascii="Arial" w:hAnsi="Arial" w:cs="Arial"/>
                <w:sz w:val="16"/>
                <w:szCs w:val="16"/>
              </w:rPr>
              <w:t>251-084-2 e altri</w:t>
            </w:r>
          </w:p>
        </w:tc>
        <w:tc>
          <w:tcPr>
            <w:tcW w:w="1898" w:type="dxa"/>
            <w:vMerge/>
          </w:tcPr>
          <w:p w14:paraId="14B2D13F" w14:textId="77777777" w:rsidR="00E10DF9" w:rsidRPr="001F2B93" w:rsidRDefault="00E10DF9" w:rsidP="001F2B93">
            <w:pPr>
              <w:rPr>
                <w:rFonts w:ascii="Arial" w:hAnsi="Arial" w:cs="Arial"/>
                <w:sz w:val="16"/>
                <w:szCs w:val="16"/>
              </w:rPr>
            </w:pPr>
          </w:p>
        </w:tc>
        <w:tc>
          <w:tcPr>
            <w:tcW w:w="1951" w:type="dxa"/>
            <w:vMerge/>
          </w:tcPr>
          <w:p w14:paraId="2B1215EF" w14:textId="77777777" w:rsidR="00E10DF9" w:rsidRPr="001F2B93" w:rsidRDefault="00E10DF9" w:rsidP="001F2B93">
            <w:pPr>
              <w:rPr>
                <w:rFonts w:ascii="Arial" w:hAnsi="Arial" w:cs="Arial"/>
                <w:sz w:val="16"/>
                <w:szCs w:val="16"/>
              </w:rPr>
            </w:pPr>
          </w:p>
        </w:tc>
        <w:tc>
          <w:tcPr>
            <w:tcW w:w="919" w:type="dxa"/>
          </w:tcPr>
          <w:p w14:paraId="6FE04691" w14:textId="22160E13" w:rsidR="00E10DF9" w:rsidRPr="001F2B93" w:rsidRDefault="00E10DF9" w:rsidP="001F2B93">
            <w:pPr>
              <w:rPr>
                <w:rFonts w:ascii="Arial" w:hAnsi="Arial" w:cs="Arial"/>
                <w:sz w:val="16"/>
                <w:szCs w:val="16"/>
              </w:rPr>
            </w:pPr>
          </w:p>
        </w:tc>
        <w:tc>
          <w:tcPr>
            <w:tcW w:w="990" w:type="dxa"/>
          </w:tcPr>
          <w:p w14:paraId="0A00133A"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3FEE56EF"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3589F7E0"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453A47E9" w14:textId="77777777" w:rsidTr="00DC17E3">
        <w:trPr>
          <w:jc w:val="center"/>
        </w:trPr>
        <w:tc>
          <w:tcPr>
            <w:tcW w:w="394" w:type="dxa"/>
          </w:tcPr>
          <w:p w14:paraId="2655300D" w14:textId="1A91C2A7" w:rsidR="00E10DF9" w:rsidRPr="001F2B93" w:rsidRDefault="00E10DF9" w:rsidP="001F2B93">
            <w:pPr>
              <w:rPr>
                <w:rFonts w:ascii="Arial" w:hAnsi="Arial" w:cs="Arial"/>
                <w:sz w:val="16"/>
                <w:szCs w:val="16"/>
              </w:rPr>
            </w:pPr>
            <w:r>
              <w:rPr>
                <w:rFonts w:ascii="Arial" w:hAnsi="Arial" w:cs="Arial"/>
                <w:sz w:val="16"/>
                <w:szCs w:val="16"/>
              </w:rPr>
              <w:t>7</w:t>
            </w:r>
          </w:p>
        </w:tc>
        <w:tc>
          <w:tcPr>
            <w:tcW w:w="2164" w:type="dxa"/>
          </w:tcPr>
          <w:p w14:paraId="0A8DB429" w14:textId="078F7A58" w:rsidR="00E10DF9" w:rsidRPr="001F2B93" w:rsidRDefault="00E10DF9" w:rsidP="001F2B93">
            <w:pPr>
              <w:rPr>
                <w:rFonts w:ascii="Arial" w:hAnsi="Arial" w:cs="Arial"/>
                <w:sz w:val="16"/>
                <w:szCs w:val="16"/>
              </w:rPr>
            </w:pPr>
            <w:proofErr w:type="spellStart"/>
            <w:r w:rsidRPr="001F2B93">
              <w:rPr>
                <w:rFonts w:ascii="Arial" w:hAnsi="Arial" w:cs="Arial"/>
                <w:sz w:val="16"/>
                <w:szCs w:val="16"/>
              </w:rPr>
              <w:t>Esabromodifeniletere</w:t>
            </w:r>
            <w:proofErr w:type="spellEnd"/>
            <w:r w:rsidRPr="001F2B93">
              <w:rPr>
                <w:rFonts w:ascii="Arial" w:hAnsi="Arial" w:cs="Arial"/>
                <w:sz w:val="16"/>
                <w:szCs w:val="16"/>
              </w:rPr>
              <w:t xml:space="preserve"> C</w:t>
            </w:r>
            <w:r w:rsidRPr="001F2B93">
              <w:rPr>
                <w:rFonts w:ascii="Arial" w:hAnsi="Arial" w:cs="Arial"/>
                <w:sz w:val="16"/>
                <w:szCs w:val="16"/>
                <w:vertAlign w:val="subscript"/>
              </w:rPr>
              <w:t>12</w:t>
            </w:r>
            <w:r w:rsidRPr="001F2B93">
              <w:rPr>
                <w:rFonts w:ascii="Arial" w:hAnsi="Arial" w:cs="Arial"/>
                <w:sz w:val="16"/>
                <w:szCs w:val="16"/>
              </w:rPr>
              <w:t>H</w:t>
            </w:r>
            <w:r w:rsidRPr="001F2B93">
              <w:rPr>
                <w:rFonts w:ascii="Arial" w:hAnsi="Arial" w:cs="Arial"/>
                <w:sz w:val="16"/>
                <w:szCs w:val="16"/>
                <w:vertAlign w:val="subscript"/>
              </w:rPr>
              <w:t>4</w:t>
            </w:r>
            <w:r w:rsidRPr="001F2B93">
              <w:rPr>
                <w:rFonts w:ascii="Arial" w:hAnsi="Arial" w:cs="Arial"/>
                <w:sz w:val="16"/>
                <w:szCs w:val="16"/>
              </w:rPr>
              <w:t>Br</w:t>
            </w:r>
            <w:r w:rsidRPr="001F2B93">
              <w:rPr>
                <w:rFonts w:ascii="Arial" w:hAnsi="Arial" w:cs="Arial"/>
                <w:sz w:val="16"/>
                <w:szCs w:val="16"/>
                <w:vertAlign w:val="subscript"/>
              </w:rPr>
              <w:t>6</w:t>
            </w:r>
            <w:r w:rsidRPr="001F2B93">
              <w:rPr>
                <w:rFonts w:ascii="Arial" w:hAnsi="Arial" w:cs="Arial"/>
                <w:sz w:val="16"/>
                <w:szCs w:val="16"/>
              </w:rPr>
              <w:t>O</w:t>
            </w:r>
          </w:p>
        </w:tc>
        <w:tc>
          <w:tcPr>
            <w:tcW w:w="804" w:type="dxa"/>
          </w:tcPr>
          <w:p w14:paraId="79453014" w14:textId="77777777" w:rsidR="00E10DF9" w:rsidRPr="001F2B93" w:rsidRDefault="00E10DF9" w:rsidP="001F2B93">
            <w:pPr>
              <w:rPr>
                <w:rFonts w:ascii="Arial" w:hAnsi="Arial" w:cs="Arial"/>
                <w:sz w:val="16"/>
                <w:szCs w:val="16"/>
              </w:rPr>
            </w:pPr>
            <w:r w:rsidRPr="001F2B93">
              <w:rPr>
                <w:rFonts w:ascii="Arial" w:hAnsi="Arial" w:cs="Arial"/>
                <w:sz w:val="16"/>
                <w:szCs w:val="16"/>
              </w:rPr>
              <w:t>36483-60-0 e altri</w:t>
            </w:r>
          </w:p>
        </w:tc>
        <w:tc>
          <w:tcPr>
            <w:tcW w:w="617" w:type="dxa"/>
          </w:tcPr>
          <w:p w14:paraId="6E526F64" w14:textId="77777777" w:rsidR="00E10DF9" w:rsidRPr="001F2B93" w:rsidRDefault="00E10DF9" w:rsidP="001F2B93">
            <w:pPr>
              <w:rPr>
                <w:rFonts w:ascii="Arial" w:hAnsi="Arial" w:cs="Arial"/>
                <w:sz w:val="16"/>
                <w:szCs w:val="16"/>
              </w:rPr>
            </w:pPr>
            <w:r w:rsidRPr="001F2B93">
              <w:rPr>
                <w:rFonts w:ascii="Arial" w:hAnsi="Arial" w:cs="Arial"/>
                <w:sz w:val="16"/>
                <w:szCs w:val="16"/>
              </w:rPr>
              <w:t>253-058-6 e altri</w:t>
            </w:r>
          </w:p>
        </w:tc>
        <w:tc>
          <w:tcPr>
            <w:tcW w:w="1898" w:type="dxa"/>
            <w:vMerge/>
          </w:tcPr>
          <w:p w14:paraId="6B88408B" w14:textId="77777777" w:rsidR="00E10DF9" w:rsidRPr="001F2B93" w:rsidRDefault="00E10DF9" w:rsidP="001F2B93">
            <w:pPr>
              <w:rPr>
                <w:rFonts w:ascii="Arial" w:hAnsi="Arial" w:cs="Arial"/>
                <w:sz w:val="16"/>
                <w:szCs w:val="16"/>
              </w:rPr>
            </w:pPr>
          </w:p>
        </w:tc>
        <w:tc>
          <w:tcPr>
            <w:tcW w:w="1951" w:type="dxa"/>
            <w:vMerge/>
          </w:tcPr>
          <w:p w14:paraId="65210004" w14:textId="77777777" w:rsidR="00E10DF9" w:rsidRPr="001F2B93" w:rsidRDefault="00E10DF9" w:rsidP="001F2B93">
            <w:pPr>
              <w:rPr>
                <w:rFonts w:ascii="Arial" w:hAnsi="Arial" w:cs="Arial"/>
                <w:sz w:val="16"/>
                <w:szCs w:val="16"/>
              </w:rPr>
            </w:pPr>
          </w:p>
        </w:tc>
        <w:tc>
          <w:tcPr>
            <w:tcW w:w="919" w:type="dxa"/>
          </w:tcPr>
          <w:p w14:paraId="3E0A8C78" w14:textId="4326A719" w:rsidR="00E10DF9" w:rsidRPr="001F2B93" w:rsidRDefault="00E10DF9" w:rsidP="001F2B93">
            <w:pPr>
              <w:rPr>
                <w:rFonts w:ascii="Arial" w:hAnsi="Arial" w:cs="Arial"/>
                <w:sz w:val="16"/>
                <w:szCs w:val="16"/>
              </w:rPr>
            </w:pPr>
          </w:p>
        </w:tc>
        <w:tc>
          <w:tcPr>
            <w:tcW w:w="990" w:type="dxa"/>
          </w:tcPr>
          <w:p w14:paraId="35BBAA77"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7B876D05"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156E5833"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496D8195" w14:textId="77777777" w:rsidTr="00DC17E3">
        <w:trPr>
          <w:jc w:val="center"/>
        </w:trPr>
        <w:tc>
          <w:tcPr>
            <w:tcW w:w="394" w:type="dxa"/>
          </w:tcPr>
          <w:p w14:paraId="6D70E540" w14:textId="64E53F3B" w:rsidR="00E10DF9" w:rsidRPr="001F2B93" w:rsidRDefault="00E10DF9" w:rsidP="001F2B93">
            <w:pPr>
              <w:rPr>
                <w:rFonts w:ascii="Arial" w:hAnsi="Arial" w:cs="Arial"/>
                <w:sz w:val="16"/>
                <w:szCs w:val="16"/>
              </w:rPr>
            </w:pPr>
            <w:r>
              <w:rPr>
                <w:rFonts w:ascii="Arial" w:hAnsi="Arial" w:cs="Arial"/>
                <w:sz w:val="16"/>
                <w:szCs w:val="16"/>
              </w:rPr>
              <w:t>8</w:t>
            </w:r>
          </w:p>
        </w:tc>
        <w:tc>
          <w:tcPr>
            <w:tcW w:w="2164" w:type="dxa"/>
          </w:tcPr>
          <w:p w14:paraId="67E59600" w14:textId="2D213166" w:rsidR="00E10DF9" w:rsidRPr="001F2B93" w:rsidRDefault="00E10DF9" w:rsidP="001F2B93">
            <w:pPr>
              <w:rPr>
                <w:rFonts w:ascii="Arial" w:hAnsi="Arial" w:cs="Arial"/>
                <w:sz w:val="16"/>
                <w:szCs w:val="16"/>
              </w:rPr>
            </w:pPr>
            <w:proofErr w:type="spellStart"/>
            <w:r w:rsidRPr="001F2B93">
              <w:rPr>
                <w:rFonts w:ascii="Arial" w:hAnsi="Arial" w:cs="Arial"/>
                <w:sz w:val="16"/>
                <w:szCs w:val="16"/>
              </w:rPr>
              <w:t>Eptabromodifeniletere</w:t>
            </w:r>
            <w:proofErr w:type="spellEnd"/>
            <w:r w:rsidRPr="001F2B93">
              <w:rPr>
                <w:rFonts w:ascii="Arial" w:hAnsi="Arial" w:cs="Arial"/>
                <w:sz w:val="16"/>
                <w:szCs w:val="16"/>
              </w:rPr>
              <w:t xml:space="preserve"> C</w:t>
            </w:r>
            <w:r w:rsidRPr="001F2B93">
              <w:rPr>
                <w:rFonts w:ascii="Arial" w:hAnsi="Arial" w:cs="Arial"/>
                <w:sz w:val="16"/>
                <w:szCs w:val="16"/>
                <w:vertAlign w:val="subscript"/>
              </w:rPr>
              <w:t>12</w:t>
            </w:r>
            <w:r w:rsidRPr="001F2B93">
              <w:rPr>
                <w:rFonts w:ascii="Arial" w:hAnsi="Arial" w:cs="Arial"/>
                <w:sz w:val="16"/>
                <w:szCs w:val="16"/>
              </w:rPr>
              <w:t>H</w:t>
            </w:r>
            <w:r w:rsidRPr="001F2B93">
              <w:rPr>
                <w:rFonts w:ascii="Arial" w:hAnsi="Arial" w:cs="Arial"/>
                <w:sz w:val="16"/>
                <w:szCs w:val="16"/>
                <w:vertAlign w:val="subscript"/>
              </w:rPr>
              <w:t>3</w:t>
            </w:r>
            <w:r w:rsidRPr="001F2B93">
              <w:rPr>
                <w:rFonts w:ascii="Arial" w:hAnsi="Arial" w:cs="Arial"/>
                <w:sz w:val="16"/>
                <w:szCs w:val="16"/>
              </w:rPr>
              <w:t>Br</w:t>
            </w:r>
            <w:r w:rsidRPr="001F2B93">
              <w:rPr>
                <w:rFonts w:ascii="Arial" w:hAnsi="Arial" w:cs="Arial"/>
                <w:sz w:val="16"/>
                <w:szCs w:val="16"/>
                <w:vertAlign w:val="subscript"/>
              </w:rPr>
              <w:t>7</w:t>
            </w:r>
            <w:r w:rsidRPr="001F2B93">
              <w:rPr>
                <w:rFonts w:ascii="Arial" w:hAnsi="Arial" w:cs="Arial"/>
                <w:sz w:val="16"/>
                <w:szCs w:val="16"/>
              </w:rPr>
              <w:t>O</w:t>
            </w:r>
          </w:p>
        </w:tc>
        <w:tc>
          <w:tcPr>
            <w:tcW w:w="804" w:type="dxa"/>
          </w:tcPr>
          <w:p w14:paraId="6DB86E77" w14:textId="77777777" w:rsidR="00E10DF9" w:rsidRPr="001F2B93" w:rsidRDefault="00E10DF9" w:rsidP="001F2B93">
            <w:pPr>
              <w:rPr>
                <w:rFonts w:ascii="Arial" w:hAnsi="Arial" w:cs="Arial"/>
                <w:sz w:val="16"/>
                <w:szCs w:val="16"/>
              </w:rPr>
            </w:pPr>
            <w:r w:rsidRPr="001F2B93">
              <w:rPr>
                <w:rFonts w:ascii="Arial" w:hAnsi="Arial" w:cs="Arial"/>
                <w:sz w:val="16"/>
                <w:szCs w:val="16"/>
              </w:rPr>
              <w:t>68928-80-3 e altri</w:t>
            </w:r>
          </w:p>
        </w:tc>
        <w:tc>
          <w:tcPr>
            <w:tcW w:w="617" w:type="dxa"/>
          </w:tcPr>
          <w:p w14:paraId="5772BDB8" w14:textId="77777777" w:rsidR="00E10DF9" w:rsidRPr="001F2B93" w:rsidRDefault="00E10DF9" w:rsidP="001F2B93">
            <w:pPr>
              <w:rPr>
                <w:rFonts w:ascii="Arial" w:hAnsi="Arial" w:cs="Arial"/>
                <w:sz w:val="16"/>
                <w:szCs w:val="16"/>
              </w:rPr>
            </w:pPr>
            <w:r w:rsidRPr="001F2B93">
              <w:rPr>
                <w:rFonts w:ascii="Arial" w:hAnsi="Arial" w:cs="Arial"/>
                <w:sz w:val="16"/>
                <w:szCs w:val="16"/>
              </w:rPr>
              <w:t>273-031-2 e altri</w:t>
            </w:r>
          </w:p>
        </w:tc>
        <w:tc>
          <w:tcPr>
            <w:tcW w:w="1898" w:type="dxa"/>
            <w:vMerge/>
          </w:tcPr>
          <w:p w14:paraId="67E52AA9" w14:textId="77777777" w:rsidR="00E10DF9" w:rsidRPr="001F2B93" w:rsidRDefault="00E10DF9" w:rsidP="001F2B93">
            <w:pPr>
              <w:rPr>
                <w:rFonts w:ascii="Arial" w:hAnsi="Arial" w:cs="Arial"/>
                <w:sz w:val="16"/>
                <w:szCs w:val="16"/>
              </w:rPr>
            </w:pPr>
          </w:p>
        </w:tc>
        <w:tc>
          <w:tcPr>
            <w:tcW w:w="1951" w:type="dxa"/>
            <w:vMerge/>
          </w:tcPr>
          <w:p w14:paraId="5DA28809" w14:textId="77777777" w:rsidR="00E10DF9" w:rsidRPr="001F2B93" w:rsidRDefault="00E10DF9" w:rsidP="001F2B93">
            <w:pPr>
              <w:rPr>
                <w:rFonts w:ascii="Arial" w:hAnsi="Arial" w:cs="Arial"/>
                <w:sz w:val="16"/>
                <w:szCs w:val="16"/>
              </w:rPr>
            </w:pPr>
          </w:p>
        </w:tc>
        <w:tc>
          <w:tcPr>
            <w:tcW w:w="919" w:type="dxa"/>
          </w:tcPr>
          <w:p w14:paraId="3F4997AA" w14:textId="3CE54CC3" w:rsidR="00E10DF9" w:rsidRPr="001F2B93" w:rsidRDefault="00E10DF9" w:rsidP="001F2B93">
            <w:pPr>
              <w:rPr>
                <w:rFonts w:ascii="Arial" w:hAnsi="Arial" w:cs="Arial"/>
                <w:sz w:val="16"/>
                <w:szCs w:val="16"/>
              </w:rPr>
            </w:pPr>
          </w:p>
        </w:tc>
        <w:tc>
          <w:tcPr>
            <w:tcW w:w="990" w:type="dxa"/>
          </w:tcPr>
          <w:p w14:paraId="054C18CC"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535FFAE3"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2428B9D2"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65BDD03A" w14:textId="77777777" w:rsidTr="00DC17E3">
        <w:trPr>
          <w:jc w:val="center"/>
        </w:trPr>
        <w:tc>
          <w:tcPr>
            <w:tcW w:w="394" w:type="dxa"/>
          </w:tcPr>
          <w:p w14:paraId="6E693C33" w14:textId="49B7ADF9" w:rsidR="00E10DF9" w:rsidRPr="001F2B93" w:rsidRDefault="00E10DF9" w:rsidP="001F2B93">
            <w:pPr>
              <w:rPr>
                <w:rFonts w:ascii="Arial" w:hAnsi="Arial" w:cs="Arial"/>
                <w:sz w:val="16"/>
                <w:szCs w:val="16"/>
              </w:rPr>
            </w:pPr>
            <w:r>
              <w:rPr>
                <w:rFonts w:ascii="Arial" w:hAnsi="Arial" w:cs="Arial"/>
                <w:sz w:val="16"/>
                <w:szCs w:val="16"/>
              </w:rPr>
              <w:t>9</w:t>
            </w:r>
          </w:p>
        </w:tc>
        <w:tc>
          <w:tcPr>
            <w:tcW w:w="2164" w:type="dxa"/>
          </w:tcPr>
          <w:p w14:paraId="0911183C" w14:textId="491D157D" w:rsidR="00E10DF9" w:rsidRPr="00E10DF9" w:rsidRDefault="00E10DF9" w:rsidP="001F2B93">
            <w:pPr>
              <w:rPr>
                <w:rFonts w:ascii="Arial" w:hAnsi="Arial" w:cs="Arial"/>
                <w:sz w:val="16"/>
                <w:szCs w:val="16"/>
              </w:rPr>
            </w:pPr>
            <w:r w:rsidRPr="00E10DF9">
              <w:rPr>
                <w:rFonts w:ascii="Arial" w:hAnsi="Arial" w:cs="Arial"/>
                <w:color w:val="000000"/>
                <w:kern w:val="24"/>
                <w:sz w:val="16"/>
                <w:szCs w:val="16"/>
                <w:lang w:eastAsia="it-IT"/>
              </w:rPr>
              <w:t>Bis (</w:t>
            </w:r>
            <w:proofErr w:type="spellStart"/>
            <w:r w:rsidRPr="00E10DF9">
              <w:rPr>
                <w:rFonts w:ascii="Arial" w:hAnsi="Arial" w:cs="Arial"/>
                <w:color w:val="000000"/>
                <w:kern w:val="24"/>
                <w:sz w:val="16"/>
                <w:szCs w:val="16"/>
                <w:lang w:eastAsia="it-IT"/>
              </w:rPr>
              <w:t>pentabromofenile</w:t>
            </w:r>
            <w:proofErr w:type="spellEnd"/>
            <w:r w:rsidRPr="00E10DF9">
              <w:rPr>
                <w:rFonts w:ascii="Arial" w:hAnsi="Arial" w:cs="Arial"/>
                <w:color w:val="000000"/>
                <w:kern w:val="24"/>
                <w:sz w:val="16"/>
                <w:szCs w:val="16"/>
                <w:lang w:eastAsia="it-IT"/>
              </w:rPr>
              <w:t>) (</w:t>
            </w:r>
            <w:proofErr w:type="spellStart"/>
            <w:r w:rsidRPr="00E10DF9">
              <w:rPr>
                <w:rFonts w:ascii="Arial" w:hAnsi="Arial" w:cs="Arial"/>
                <w:color w:val="000000"/>
                <w:kern w:val="24"/>
                <w:sz w:val="16"/>
                <w:szCs w:val="16"/>
                <w:lang w:eastAsia="it-IT"/>
              </w:rPr>
              <w:t>decabromodifeniletere</w:t>
            </w:r>
            <w:proofErr w:type="spellEnd"/>
            <w:r w:rsidRPr="00E10DF9">
              <w:rPr>
                <w:rFonts w:ascii="Arial" w:hAnsi="Arial" w:cs="Arial"/>
                <w:color w:val="000000"/>
                <w:kern w:val="24"/>
                <w:sz w:val="16"/>
                <w:szCs w:val="16"/>
                <w:lang w:eastAsia="it-IT"/>
              </w:rPr>
              <w:t xml:space="preserve">; </w:t>
            </w:r>
            <w:proofErr w:type="spellStart"/>
            <w:r w:rsidRPr="00E10DF9">
              <w:rPr>
                <w:rFonts w:ascii="Arial" w:hAnsi="Arial" w:cs="Arial"/>
                <w:color w:val="000000"/>
                <w:kern w:val="24"/>
                <w:sz w:val="16"/>
                <w:szCs w:val="16"/>
                <w:lang w:eastAsia="it-IT"/>
              </w:rPr>
              <w:t>decaBDE</w:t>
            </w:r>
            <w:proofErr w:type="spellEnd"/>
            <w:r w:rsidRPr="00E10DF9">
              <w:rPr>
                <w:rFonts w:ascii="Arial" w:hAnsi="Arial" w:cs="Arial"/>
                <w:color w:val="000000"/>
                <w:kern w:val="24"/>
                <w:sz w:val="16"/>
                <w:szCs w:val="16"/>
                <w:lang w:eastAsia="it-IT"/>
              </w:rPr>
              <w:t>) C</w:t>
            </w:r>
            <w:r w:rsidRPr="00E10DF9">
              <w:rPr>
                <w:rFonts w:ascii="Arial" w:hAnsi="Arial" w:cs="Arial"/>
                <w:color w:val="000000"/>
                <w:kern w:val="24"/>
                <w:sz w:val="16"/>
                <w:szCs w:val="16"/>
                <w:vertAlign w:val="subscript"/>
                <w:lang w:eastAsia="it-IT"/>
              </w:rPr>
              <w:t>12</w:t>
            </w:r>
            <w:r w:rsidRPr="00E10DF9">
              <w:rPr>
                <w:rFonts w:ascii="Arial" w:hAnsi="Arial" w:cs="Arial"/>
                <w:color w:val="000000"/>
                <w:kern w:val="24"/>
                <w:sz w:val="16"/>
                <w:szCs w:val="16"/>
                <w:lang w:eastAsia="it-IT"/>
              </w:rPr>
              <w:t>Br</w:t>
            </w:r>
            <w:r w:rsidRPr="00E10DF9">
              <w:rPr>
                <w:rFonts w:ascii="Arial" w:hAnsi="Arial" w:cs="Arial"/>
                <w:color w:val="000000"/>
                <w:kern w:val="24"/>
                <w:sz w:val="16"/>
                <w:szCs w:val="16"/>
                <w:vertAlign w:val="subscript"/>
                <w:lang w:eastAsia="it-IT"/>
              </w:rPr>
              <w:t>10</w:t>
            </w:r>
            <w:r w:rsidRPr="00E10DF9">
              <w:rPr>
                <w:rFonts w:ascii="Arial" w:hAnsi="Arial" w:cs="Arial"/>
                <w:color w:val="000000"/>
                <w:kern w:val="24"/>
                <w:sz w:val="16"/>
                <w:szCs w:val="16"/>
                <w:lang w:eastAsia="it-IT"/>
              </w:rPr>
              <w:t>O</w:t>
            </w:r>
          </w:p>
        </w:tc>
        <w:tc>
          <w:tcPr>
            <w:tcW w:w="804" w:type="dxa"/>
          </w:tcPr>
          <w:p w14:paraId="6FDB66DF" w14:textId="77777777" w:rsidR="00E10DF9" w:rsidRPr="001F2B93" w:rsidRDefault="00E10DF9" w:rsidP="001F2B93">
            <w:pPr>
              <w:rPr>
                <w:rFonts w:ascii="Arial" w:hAnsi="Arial" w:cs="Arial"/>
                <w:sz w:val="16"/>
                <w:szCs w:val="16"/>
              </w:rPr>
            </w:pPr>
            <w:r w:rsidRPr="001F2B93">
              <w:rPr>
                <w:rFonts w:ascii="Arial" w:hAnsi="Arial" w:cs="Arial"/>
                <w:sz w:val="16"/>
                <w:szCs w:val="16"/>
              </w:rPr>
              <w:t>1163-19-5 e altri</w:t>
            </w:r>
          </w:p>
        </w:tc>
        <w:tc>
          <w:tcPr>
            <w:tcW w:w="617" w:type="dxa"/>
          </w:tcPr>
          <w:p w14:paraId="4F06783D" w14:textId="77777777" w:rsidR="00E10DF9" w:rsidRPr="001F2B93" w:rsidRDefault="00E10DF9" w:rsidP="001F2B93">
            <w:pPr>
              <w:rPr>
                <w:rFonts w:ascii="Arial" w:hAnsi="Arial" w:cs="Arial"/>
                <w:sz w:val="16"/>
                <w:szCs w:val="16"/>
              </w:rPr>
            </w:pPr>
            <w:r w:rsidRPr="001F2B93">
              <w:rPr>
                <w:rFonts w:ascii="Arial" w:hAnsi="Arial" w:cs="Arial"/>
                <w:sz w:val="16"/>
                <w:szCs w:val="16"/>
              </w:rPr>
              <w:t>214-604-9 e altri</w:t>
            </w:r>
          </w:p>
        </w:tc>
        <w:tc>
          <w:tcPr>
            <w:tcW w:w="1898" w:type="dxa"/>
            <w:vMerge/>
          </w:tcPr>
          <w:p w14:paraId="463FA67C" w14:textId="77777777" w:rsidR="00E10DF9" w:rsidRPr="001F2B93" w:rsidRDefault="00E10DF9" w:rsidP="001F2B93">
            <w:pPr>
              <w:rPr>
                <w:rFonts w:ascii="Arial" w:hAnsi="Arial" w:cs="Arial"/>
                <w:sz w:val="16"/>
                <w:szCs w:val="16"/>
              </w:rPr>
            </w:pPr>
          </w:p>
        </w:tc>
        <w:tc>
          <w:tcPr>
            <w:tcW w:w="1951" w:type="dxa"/>
            <w:vMerge/>
          </w:tcPr>
          <w:p w14:paraId="12E2B339" w14:textId="77777777" w:rsidR="00E10DF9" w:rsidRPr="001F2B93" w:rsidRDefault="00E10DF9" w:rsidP="001F2B93">
            <w:pPr>
              <w:rPr>
                <w:rFonts w:ascii="Arial" w:hAnsi="Arial" w:cs="Arial"/>
                <w:sz w:val="16"/>
                <w:szCs w:val="16"/>
              </w:rPr>
            </w:pPr>
          </w:p>
        </w:tc>
        <w:tc>
          <w:tcPr>
            <w:tcW w:w="919" w:type="dxa"/>
          </w:tcPr>
          <w:p w14:paraId="1E0252D2" w14:textId="43BEB725" w:rsidR="00E10DF9" w:rsidRPr="001F2B93" w:rsidRDefault="00E10DF9" w:rsidP="001F2B93">
            <w:pPr>
              <w:rPr>
                <w:rFonts w:ascii="Arial" w:hAnsi="Arial" w:cs="Arial"/>
                <w:sz w:val="16"/>
                <w:szCs w:val="16"/>
              </w:rPr>
            </w:pPr>
          </w:p>
        </w:tc>
        <w:tc>
          <w:tcPr>
            <w:tcW w:w="990" w:type="dxa"/>
          </w:tcPr>
          <w:p w14:paraId="5A301635" w14:textId="77777777" w:rsidR="00E10DF9" w:rsidRPr="001F2B93" w:rsidRDefault="00E10DF9" w:rsidP="001F2B93">
            <w:pPr>
              <w:rPr>
                <w:rFonts w:ascii="Arial" w:hAnsi="Arial" w:cs="Arial"/>
                <w:sz w:val="16"/>
                <w:szCs w:val="16"/>
              </w:rPr>
            </w:pPr>
            <w:r w:rsidRPr="001F2B93">
              <w:rPr>
                <w:rFonts w:ascii="Arial" w:hAnsi="Arial" w:cs="Arial"/>
                <w:sz w:val="16"/>
                <w:szCs w:val="16"/>
              </w:rPr>
              <w:t>S</w:t>
            </w:r>
            <w:r w:rsidRPr="001F2B93">
              <w:rPr>
                <w:rFonts w:ascii="Arial" w:hAnsi="Arial"/>
                <w:sz w:val="16"/>
                <w:szCs w:val="16"/>
              </w:rPr>
              <w:t>I (2012)</w:t>
            </w:r>
          </w:p>
        </w:tc>
        <w:tc>
          <w:tcPr>
            <w:tcW w:w="530" w:type="dxa"/>
          </w:tcPr>
          <w:p w14:paraId="01D0D9E2" w14:textId="77777777" w:rsidR="00E10DF9" w:rsidRPr="001F2B93" w:rsidRDefault="00E10DF9" w:rsidP="001F2B93">
            <w:pPr>
              <w:rPr>
                <w:rFonts w:ascii="Arial" w:hAnsi="Arial" w:cs="Arial"/>
                <w:sz w:val="16"/>
                <w:szCs w:val="16"/>
              </w:rPr>
            </w:pPr>
            <w:r w:rsidRPr="001F2B93">
              <w:rPr>
                <w:rFonts w:ascii="Arial" w:hAnsi="Arial" w:cs="Arial"/>
                <w:sz w:val="16"/>
                <w:szCs w:val="16"/>
              </w:rPr>
              <w:t>NO</w:t>
            </w:r>
            <w:r w:rsidRPr="001F2B93">
              <w:rPr>
                <w:rFonts w:ascii="Arial" w:hAnsi="Arial" w:cs="Arial"/>
                <w:sz w:val="16"/>
                <w:szCs w:val="16"/>
                <w:vertAlign w:val="superscript"/>
              </w:rPr>
              <w:footnoteReference w:id="3"/>
            </w:r>
          </w:p>
        </w:tc>
        <w:tc>
          <w:tcPr>
            <w:tcW w:w="574" w:type="dxa"/>
          </w:tcPr>
          <w:p w14:paraId="4443526C" w14:textId="77777777" w:rsidR="00E10DF9" w:rsidRPr="001F2B93" w:rsidRDefault="00E10DF9" w:rsidP="001F2B93">
            <w:pPr>
              <w:rPr>
                <w:rFonts w:ascii="Arial" w:hAnsi="Arial" w:cs="Arial"/>
                <w:sz w:val="16"/>
                <w:szCs w:val="16"/>
              </w:rPr>
            </w:pPr>
            <w:r w:rsidRPr="001F2B93">
              <w:rPr>
                <w:rFonts w:ascii="Arial" w:hAnsi="Arial" w:cs="Arial"/>
                <w:sz w:val="16"/>
                <w:szCs w:val="16"/>
              </w:rPr>
              <w:t>SI (67)</w:t>
            </w:r>
          </w:p>
        </w:tc>
      </w:tr>
      <w:tr w:rsidR="00E10DF9" w:rsidRPr="001F2B93" w14:paraId="64B186C0" w14:textId="77777777" w:rsidTr="00DC17E3">
        <w:trPr>
          <w:jc w:val="center"/>
        </w:trPr>
        <w:tc>
          <w:tcPr>
            <w:tcW w:w="394" w:type="dxa"/>
          </w:tcPr>
          <w:p w14:paraId="23F5D569" w14:textId="4CCF73EB" w:rsidR="00E10DF9" w:rsidRPr="001F2B93" w:rsidRDefault="00E10DF9" w:rsidP="001F2B93">
            <w:pPr>
              <w:rPr>
                <w:rFonts w:ascii="Arial" w:hAnsi="Arial" w:cs="Arial"/>
                <w:sz w:val="16"/>
                <w:szCs w:val="16"/>
              </w:rPr>
            </w:pPr>
            <w:r>
              <w:rPr>
                <w:rFonts w:ascii="Arial" w:hAnsi="Arial" w:cs="Arial"/>
                <w:sz w:val="16"/>
                <w:szCs w:val="16"/>
              </w:rPr>
              <w:t>10</w:t>
            </w:r>
          </w:p>
        </w:tc>
        <w:tc>
          <w:tcPr>
            <w:tcW w:w="2164" w:type="dxa"/>
            <w:shd w:val="clear" w:color="auto" w:fill="auto"/>
          </w:tcPr>
          <w:p w14:paraId="3DEA2D7E" w14:textId="56375647" w:rsidR="00E10DF9" w:rsidRPr="001F2B93" w:rsidRDefault="00E10DF9" w:rsidP="001F2B93">
            <w:pPr>
              <w:rPr>
                <w:rFonts w:ascii="Arial" w:hAnsi="Arial" w:cs="Arial"/>
                <w:sz w:val="16"/>
                <w:szCs w:val="16"/>
              </w:rPr>
            </w:pPr>
            <w:r w:rsidRPr="001F2B93">
              <w:rPr>
                <w:rFonts w:ascii="Arial" w:hAnsi="Arial" w:cs="Arial"/>
                <w:sz w:val="16"/>
                <w:szCs w:val="16"/>
              </w:rPr>
              <w:t xml:space="preserve">Acido </w:t>
            </w:r>
            <w:proofErr w:type="spellStart"/>
            <w:r w:rsidRPr="001F2B93">
              <w:rPr>
                <w:rFonts w:ascii="Arial" w:hAnsi="Arial" w:cs="Arial"/>
                <w:sz w:val="16"/>
                <w:szCs w:val="16"/>
              </w:rPr>
              <w:t>perfluorottano</w:t>
            </w:r>
            <w:proofErr w:type="spellEnd"/>
            <w:r w:rsidRPr="001F2B93">
              <w:rPr>
                <w:rFonts w:ascii="Arial" w:hAnsi="Arial" w:cs="Arial"/>
                <w:sz w:val="16"/>
                <w:szCs w:val="16"/>
              </w:rPr>
              <w:t xml:space="preserve"> </w:t>
            </w:r>
            <w:proofErr w:type="spellStart"/>
            <w:r w:rsidRPr="001F2B93">
              <w:rPr>
                <w:rFonts w:ascii="Arial" w:hAnsi="Arial" w:cs="Arial"/>
                <w:sz w:val="16"/>
                <w:szCs w:val="16"/>
              </w:rPr>
              <w:t>sulfonato</w:t>
            </w:r>
            <w:proofErr w:type="spellEnd"/>
            <w:r w:rsidRPr="001F2B93">
              <w:rPr>
                <w:rFonts w:ascii="Arial" w:hAnsi="Arial" w:cs="Arial"/>
                <w:sz w:val="16"/>
                <w:szCs w:val="16"/>
              </w:rPr>
              <w:t xml:space="preserve"> e suoi derivati (PFOS) C8F17SO2X (X = OH, sale metallico (O-M+), alogenuro, ammide, e altri derivati compresi i polimeri)</w:t>
            </w:r>
            <w:r w:rsidRPr="001F2B93">
              <w:rPr>
                <w:rFonts w:ascii="Arial" w:hAnsi="Arial" w:cs="Arial"/>
                <w:sz w:val="16"/>
                <w:szCs w:val="16"/>
                <w:vertAlign w:val="superscript"/>
              </w:rPr>
              <w:footnoteReference w:id="4"/>
            </w:r>
          </w:p>
        </w:tc>
        <w:tc>
          <w:tcPr>
            <w:tcW w:w="804" w:type="dxa"/>
            <w:shd w:val="clear" w:color="auto" w:fill="auto"/>
          </w:tcPr>
          <w:p w14:paraId="5BE00E3E" w14:textId="77777777" w:rsidR="00E10DF9" w:rsidRPr="001F2B93" w:rsidRDefault="00E10DF9" w:rsidP="001F2B93">
            <w:pPr>
              <w:rPr>
                <w:rFonts w:ascii="Arial" w:hAnsi="Arial" w:cs="Arial"/>
                <w:sz w:val="16"/>
                <w:szCs w:val="16"/>
              </w:rPr>
            </w:pPr>
            <w:r w:rsidRPr="001F2B93">
              <w:rPr>
                <w:rFonts w:ascii="Arial" w:hAnsi="Arial" w:cs="Arial"/>
                <w:sz w:val="16"/>
                <w:szCs w:val="16"/>
              </w:rPr>
              <w:t>1763-23-1 2795-39-3 29457-72-5 29081-56-9 70225-14-8 56773-42-3 251099-16-8 4151-</w:t>
            </w:r>
            <w:r w:rsidRPr="001F2B93">
              <w:rPr>
                <w:rFonts w:ascii="Arial" w:hAnsi="Arial" w:cs="Arial"/>
                <w:sz w:val="16"/>
                <w:szCs w:val="16"/>
              </w:rPr>
              <w:lastRenderedPageBreak/>
              <w:t>50-2 31506-32-8 1691-99-2 24448-09-7 307-35-7 e altri</w:t>
            </w:r>
          </w:p>
        </w:tc>
        <w:tc>
          <w:tcPr>
            <w:tcW w:w="617" w:type="dxa"/>
            <w:shd w:val="clear" w:color="auto" w:fill="auto"/>
          </w:tcPr>
          <w:p w14:paraId="3D8F47B3" w14:textId="77777777" w:rsidR="00E10DF9" w:rsidRPr="001F2B93" w:rsidRDefault="00E10DF9" w:rsidP="001F2B93">
            <w:pPr>
              <w:rPr>
                <w:rFonts w:ascii="Arial" w:hAnsi="Arial" w:cs="Arial"/>
                <w:sz w:val="16"/>
                <w:szCs w:val="16"/>
              </w:rPr>
            </w:pPr>
            <w:r w:rsidRPr="001F2B93">
              <w:rPr>
                <w:rFonts w:ascii="Arial" w:hAnsi="Arial" w:cs="Arial"/>
                <w:sz w:val="16"/>
                <w:szCs w:val="16"/>
              </w:rPr>
              <w:lastRenderedPageBreak/>
              <w:t xml:space="preserve">217-179-8 220-527-1 249-644-6 249-415-0 274-460-8 </w:t>
            </w:r>
            <w:r w:rsidRPr="001F2B93">
              <w:rPr>
                <w:rFonts w:ascii="Arial" w:hAnsi="Arial" w:cs="Arial"/>
                <w:sz w:val="16"/>
                <w:szCs w:val="16"/>
              </w:rPr>
              <w:lastRenderedPageBreak/>
              <w:t>260-375-3 223-980-3 250-665-8 216-887-4 246-262-1 206-200-6 e altri</w:t>
            </w:r>
          </w:p>
        </w:tc>
        <w:tc>
          <w:tcPr>
            <w:tcW w:w="1898" w:type="dxa"/>
            <w:shd w:val="clear" w:color="auto" w:fill="auto"/>
          </w:tcPr>
          <w:p w14:paraId="3CBE7C70" w14:textId="77777777" w:rsidR="00E10DF9" w:rsidRPr="001F2B93" w:rsidRDefault="00E10DF9" w:rsidP="001F2B93">
            <w:pPr>
              <w:rPr>
                <w:rFonts w:ascii="Arial" w:hAnsi="Arial" w:cs="Arial"/>
                <w:sz w:val="16"/>
                <w:szCs w:val="16"/>
              </w:rPr>
            </w:pPr>
            <w:r w:rsidRPr="001F2B93">
              <w:rPr>
                <w:rFonts w:ascii="Arial" w:hAnsi="Arial" w:cs="Arial"/>
                <w:sz w:val="16"/>
                <w:szCs w:val="16"/>
              </w:rPr>
              <w:lastRenderedPageBreak/>
              <w:t>50 mg/kg</w:t>
            </w:r>
          </w:p>
        </w:tc>
        <w:tc>
          <w:tcPr>
            <w:tcW w:w="1951" w:type="dxa"/>
            <w:shd w:val="clear" w:color="auto" w:fill="auto"/>
          </w:tcPr>
          <w:p w14:paraId="72B8A96E" w14:textId="77777777" w:rsidR="00E10DF9" w:rsidRPr="001F2B93" w:rsidRDefault="00E10DF9" w:rsidP="001F2B93">
            <w:pPr>
              <w:rPr>
                <w:rFonts w:ascii="Arial" w:hAnsi="Arial" w:cs="Arial"/>
                <w:sz w:val="16"/>
                <w:szCs w:val="16"/>
              </w:rPr>
            </w:pPr>
            <w:r w:rsidRPr="001F2B93">
              <w:rPr>
                <w:rFonts w:ascii="Arial" w:hAnsi="Arial" w:cs="Arial"/>
                <w:sz w:val="16"/>
                <w:szCs w:val="16"/>
              </w:rPr>
              <w:t>Tensioattivo</w:t>
            </w:r>
          </w:p>
        </w:tc>
        <w:tc>
          <w:tcPr>
            <w:tcW w:w="919" w:type="dxa"/>
            <w:shd w:val="clear" w:color="auto" w:fill="auto"/>
          </w:tcPr>
          <w:p w14:paraId="3148CB83" w14:textId="4508257C" w:rsidR="00E10DF9" w:rsidRPr="001F2B93" w:rsidRDefault="00E10DF9" w:rsidP="001F2B93">
            <w:pPr>
              <w:rPr>
                <w:rFonts w:ascii="Arial" w:hAnsi="Arial" w:cs="Arial"/>
                <w:sz w:val="16"/>
                <w:szCs w:val="16"/>
              </w:rPr>
            </w:pPr>
          </w:p>
        </w:tc>
        <w:tc>
          <w:tcPr>
            <w:tcW w:w="990" w:type="dxa"/>
            <w:shd w:val="clear" w:color="auto" w:fill="auto"/>
          </w:tcPr>
          <w:p w14:paraId="50B41F74"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30" w:type="dxa"/>
            <w:shd w:val="clear" w:color="auto" w:fill="auto"/>
          </w:tcPr>
          <w:p w14:paraId="29278E31"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shd w:val="clear" w:color="auto" w:fill="auto"/>
          </w:tcPr>
          <w:p w14:paraId="6D86BA9A"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DC17E3" w:rsidRPr="001F2B93" w14:paraId="60023EBD" w14:textId="77777777" w:rsidTr="00DC17E3">
        <w:trPr>
          <w:jc w:val="center"/>
        </w:trPr>
        <w:tc>
          <w:tcPr>
            <w:tcW w:w="394" w:type="dxa"/>
            <w:shd w:val="clear" w:color="auto" w:fill="FFE599" w:themeFill="accent4" w:themeFillTint="66"/>
          </w:tcPr>
          <w:p w14:paraId="53C7C375" w14:textId="628BB046" w:rsidR="00E10DF9" w:rsidRPr="001F2B93" w:rsidRDefault="00E10DF9" w:rsidP="001F2B93">
            <w:pPr>
              <w:rPr>
                <w:rFonts w:ascii="Arial" w:hAnsi="Arial" w:cs="Arial"/>
                <w:sz w:val="16"/>
                <w:szCs w:val="16"/>
              </w:rPr>
            </w:pPr>
            <w:r>
              <w:rPr>
                <w:rFonts w:ascii="Arial" w:hAnsi="Arial" w:cs="Arial"/>
                <w:sz w:val="16"/>
                <w:szCs w:val="16"/>
              </w:rPr>
              <w:t>11</w:t>
            </w:r>
          </w:p>
        </w:tc>
        <w:tc>
          <w:tcPr>
            <w:tcW w:w="2164" w:type="dxa"/>
            <w:shd w:val="clear" w:color="auto" w:fill="FFE599" w:themeFill="accent4" w:themeFillTint="66"/>
          </w:tcPr>
          <w:p w14:paraId="098B67AB" w14:textId="068C417B" w:rsidR="00E10DF9" w:rsidRPr="00E10DF9" w:rsidRDefault="00E10DF9" w:rsidP="001F2B93">
            <w:pPr>
              <w:rPr>
                <w:rFonts w:ascii="Arial" w:hAnsi="Arial" w:cs="Arial"/>
                <w:sz w:val="16"/>
                <w:szCs w:val="16"/>
              </w:rPr>
            </w:pPr>
            <w:proofErr w:type="spellStart"/>
            <w:r w:rsidRPr="00E10DF9">
              <w:rPr>
                <w:rFonts w:ascii="Arial" w:hAnsi="Arial" w:cs="Arial"/>
                <w:color w:val="000000"/>
                <w:kern w:val="24"/>
                <w:sz w:val="16"/>
                <w:szCs w:val="16"/>
              </w:rPr>
              <w:t>Dibenzo</w:t>
            </w:r>
            <w:proofErr w:type="spellEnd"/>
            <w:r w:rsidRPr="00E10DF9">
              <w:rPr>
                <w:rFonts w:ascii="Arial" w:hAnsi="Arial" w:cs="Arial"/>
                <w:color w:val="000000"/>
                <w:kern w:val="24"/>
                <w:sz w:val="16"/>
                <w:szCs w:val="16"/>
              </w:rPr>
              <w:t xml:space="preserve">-p-diossine e </w:t>
            </w:r>
            <w:proofErr w:type="spellStart"/>
            <w:r w:rsidRPr="00E10DF9">
              <w:rPr>
                <w:rFonts w:ascii="Arial" w:hAnsi="Arial" w:cs="Arial"/>
                <w:color w:val="000000"/>
                <w:kern w:val="24"/>
                <w:sz w:val="16"/>
                <w:szCs w:val="16"/>
              </w:rPr>
              <w:t>dibenzofurani</w:t>
            </w:r>
            <w:proofErr w:type="spellEnd"/>
            <w:r w:rsidRPr="00E10DF9">
              <w:rPr>
                <w:rFonts w:ascii="Arial" w:hAnsi="Arial" w:cs="Arial"/>
                <w:color w:val="000000"/>
                <w:kern w:val="24"/>
                <w:sz w:val="16"/>
                <w:szCs w:val="16"/>
              </w:rPr>
              <w:t xml:space="preserve"> policlorurati (PCDD/PCDF) e policlorobifenili diossina- simili (dl-PCB)</w:t>
            </w:r>
          </w:p>
        </w:tc>
        <w:tc>
          <w:tcPr>
            <w:tcW w:w="804" w:type="dxa"/>
            <w:shd w:val="clear" w:color="auto" w:fill="FFE599" w:themeFill="accent4" w:themeFillTint="66"/>
          </w:tcPr>
          <w:p w14:paraId="4414BE86" w14:textId="77777777" w:rsidR="00E10DF9" w:rsidRPr="001F2B93" w:rsidRDefault="00E10DF9" w:rsidP="001F2B93">
            <w:pPr>
              <w:rPr>
                <w:rFonts w:ascii="Arial" w:hAnsi="Arial" w:cs="Arial"/>
                <w:sz w:val="16"/>
                <w:szCs w:val="16"/>
              </w:rPr>
            </w:pPr>
          </w:p>
        </w:tc>
        <w:tc>
          <w:tcPr>
            <w:tcW w:w="617" w:type="dxa"/>
            <w:shd w:val="clear" w:color="auto" w:fill="FFE599" w:themeFill="accent4" w:themeFillTint="66"/>
          </w:tcPr>
          <w:p w14:paraId="6ADDE562" w14:textId="77777777" w:rsidR="00E10DF9" w:rsidRPr="001F2B93" w:rsidRDefault="00E10DF9" w:rsidP="001F2B93">
            <w:pPr>
              <w:rPr>
                <w:rFonts w:ascii="Arial" w:hAnsi="Arial" w:cs="Arial"/>
                <w:sz w:val="16"/>
                <w:szCs w:val="16"/>
              </w:rPr>
            </w:pPr>
          </w:p>
        </w:tc>
        <w:tc>
          <w:tcPr>
            <w:tcW w:w="1898" w:type="dxa"/>
            <w:shd w:val="clear" w:color="auto" w:fill="FFE599" w:themeFill="accent4" w:themeFillTint="66"/>
          </w:tcPr>
          <w:p w14:paraId="112A755E" w14:textId="77777777" w:rsidR="00E10DF9" w:rsidRPr="00E10DF9" w:rsidRDefault="00E10DF9" w:rsidP="00E10DF9">
            <w:pPr>
              <w:rPr>
                <w:rFonts w:ascii="Arial" w:hAnsi="Arial" w:cs="Arial"/>
                <w:sz w:val="16"/>
                <w:szCs w:val="16"/>
              </w:rPr>
            </w:pPr>
            <w:r w:rsidRPr="00E10DF9">
              <w:rPr>
                <w:rFonts w:ascii="Arial" w:hAnsi="Arial" w:cs="Arial"/>
                <w:sz w:val="16"/>
                <w:szCs w:val="16"/>
              </w:rPr>
              <w:t xml:space="preserve">5 </w:t>
            </w:r>
            <w:proofErr w:type="spellStart"/>
            <w:r w:rsidRPr="00E10DF9">
              <w:rPr>
                <w:rFonts w:ascii="Arial" w:hAnsi="Arial" w:cs="Arial"/>
                <w:sz w:val="16"/>
                <w:szCs w:val="16"/>
              </w:rPr>
              <w:t>μg</w:t>
            </w:r>
            <w:proofErr w:type="spellEnd"/>
            <w:r w:rsidRPr="00E10DF9">
              <w:rPr>
                <w:rFonts w:ascii="Arial" w:hAnsi="Arial" w:cs="Arial"/>
                <w:sz w:val="16"/>
                <w:szCs w:val="16"/>
              </w:rPr>
              <w:t>/</w:t>
            </w:r>
            <w:proofErr w:type="gramStart"/>
            <w:r w:rsidRPr="00E10DF9">
              <w:rPr>
                <w:rFonts w:ascii="Arial" w:hAnsi="Arial" w:cs="Arial"/>
                <w:sz w:val="16"/>
                <w:szCs w:val="16"/>
              </w:rPr>
              <w:t>kg(</w:t>
            </w:r>
            <w:proofErr w:type="gramEnd"/>
            <w:r w:rsidRPr="00E10DF9">
              <w:rPr>
                <w:rFonts w:ascii="Arial" w:hAnsi="Arial" w:cs="Arial"/>
                <w:sz w:val="16"/>
                <w:szCs w:val="16"/>
              </w:rPr>
              <w:t>2)</w:t>
            </w:r>
          </w:p>
          <w:p w14:paraId="5DB5BE1C" w14:textId="24E54C20" w:rsidR="00E10DF9" w:rsidRPr="001F2B93" w:rsidRDefault="00E10DF9" w:rsidP="00E10DF9">
            <w:pPr>
              <w:rPr>
                <w:rFonts w:ascii="Arial" w:hAnsi="Arial" w:cs="Arial"/>
                <w:sz w:val="16"/>
                <w:szCs w:val="16"/>
              </w:rPr>
            </w:pPr>
            <w:r w:rsidRPr="00E10DF9">
              <w:rPr>
                <w:rFonts w:ascii="Arial" w:hAnsi="Arial" w:cs="Arial"/>
                <w:sz w:val="16"/>
                <w:szCs w:val="16"/>
              </w:rPr>
              <w:t>La Commissione rivede tale limite di concentrazione e, se del caso, adotta una proposta legislativa per abbassare tale valore, ove ciò sia possibile in linea con il progresso scientifico e tecnico, entro il 30 dicembre 2027</w:t>
            </w:r>
          </w:p>
        </w:tc>
        <w:tc>
          <w:tcPr>
            <w:tcW w:w="1951" w:type="dxa"/>
            <w:shd w:val="clear" w:color="auto" w:fill="FFE599" w:themeFill="accent4" w:themeFillTint="66"/>
          </w:tcPr>
          <w:p w14:paraId="204B2C63" w14:textId="77777777" w:rsidR="00E10DF9" w:rsidRPr="001F2B93" w:rsidRDefault="00E10DF9" w:rsidP="001F2B93">
            <w:pPr>
              <w:rPr>
                <w:rFonts w:ascii="Arial" w:hAnsi="Arial" w:cs="Arial"/>
                <w:sz w:val="16"/>
                <w:szCs w:val="16"/>
              </w:rPr>
            </w:pPr>
            <w:r w:rsidRPr="001F2B93">
              <w:rPr>
                <w:rFonts w:ascii="Arial" w:hAnsi="Arial" w:cs="Arial"/>
                <w:sz w:val="16"/>
                <w:szCs w:val="16"/>
              </w:rPr>
              <w:t>Inquinante</w:t>
            </w:r>
          </w:p>
        </w:tc>
        <w:tc>
          <w:tcPr>
            <w:tcW w:w="919" w:type="dxa"/>
            <w:shd w:val="clear" w:color="auto" w:fill="FFE599" w:themeFill="accent4" w:themeFillTint="66"/>
          </w:tcPr>
          <w:p w14:paraId="7EF2A13C" w14:textId="6492D2D9" w:rsidR="00E10DF9" w:rsidRPr="001F2B93" w:rsidRDefault="00E10DF9" w:rsidP="001F2B93">
            <w:pPr>
              <w:rPr>
                <w:rFonts w:ascii="Arial" w:hAnsi="Arial" w:cs="Arial"/>
                <w:sz w:val="16"/>
                <w:szCs w:val="16"/>
              </w:rPr>
            </w:pPr>
          </w:p>
        </w:tc>
        <w:tc>
          <w:tcPr>
            <w:tcW w:w="990" w:type="dxa"/>
            <w:shd w:val="clear" w:color="auto" w:fill="FFE599" w:themeFill="accent4" w:themeFillTint="66"/>
          </w:tcPr>
          <w:p w14:paraId="3D2081BE"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shd w:val="clear" w:color="auto" w:fill="FFE599" w:themeFill="accent4" w:themeFillTint="66"/>
          </w:tcPr>
          <w:p w14:paraId="231E351C"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shd w:val="clear" w:color="auto" w:fill="FFE599" w:themeFill="accent4" w:themeFillTint="66"/>
          </w:tcPr>
          <w:p w14:paraId="58E839E7"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17BD80CA" w14:textId="77777777" w:rsidTr="00DC17E3">
        <w:trPr>
          <w:jc w:val="center"/>
        </w:trPr>
        <w:tc>
          <w:tcPr>
            <w:tcW w:w="394" w:type="dxa"/>
          </w:tcPr>
          <w:p w14:paraId="37D212E4" w14:textId="291D6EB5" w:rsidR="00E10DF9" w:rsidRPr="001F2B93" w:rsidRDefault="00E10DF9" w:rsidP="001F2B93">
            <w:pPr>
              <w:rPr>
                <w:rFonts w:ascii="Arial" w:hAnsi="Arial" w:cs="Arial"/>
                <w:sz w:val="16"/>
                <w:szCs w:val="16"/>
              </w:rPr>
            </w:pPr>
            <w:r>
              <w:rPr>
                <w:rFonts w:ascii="Arial" w:hAnsi="Arial" w:cs="Arial"/>
                <w:sz w:val="16"/>
                <w:szCs w:val="16"/>
              </w:rPr>
              <w:t>12</w:t>
            </w:r>
          </w:p>
        </w:tc>
        <w:tc>
          <w:tcPr>
            <w:tcW w:w="2164" w:type="dxa"/>
          </w:tcPr>
          <w:p w14:paraId="512DC11C" w14:textId="31A23B84" w:rsidR="00E10DF9" w:rsidRPr="001F2B93" w:rsidRDefault="00E10DF9" w:rsidP="001F2B93">
            <w:pPr>
              <w:rPr>
                <w:rFonts w:ascii="Arial" w:hAnsi="Arial" w:cs="Arial"/>
                <w:sz w:val="16"/>
                <w:szCs w:val="16"/>
              </w:rPr>
            </w:pPr>
            <w:r w:rsidRPr="001F2B93">
              <w:rPr>
                <w:rFonts w:ascii="Arial" w:hAnsi="Arial" w:cs="Arial"/>
                <w:sz w:val="16"/>
                <w:szCs w:val="16"/>
              </w:rPr>
              <w:t>DDT (1,1,1-tricloro-2,2-bis(4-clorofenil) etano)</w:t>
            </w:r>
          </w:p>
        </w:tc>
        <w:tc>
          <w:tcPr>
            <w:tcW w:w="804" w:type="dxa"/>
          </w:tcPr>
          <w:p w14:paraId="635630F4" w14:textId="77777777" w:rsidR="00E10DF9" w:rsidRPr="001F2B93" w:rsidRDefault="00E10DF9" w:rsidP="001F2B93">
            <w:pPr>
              <w:rPr>
                <w:rFonts w:ascii="Arial" w:hAnsi="Arial" w:cs="Arial"/>
                <w:sz w:val="16"/>
                <w:szCs w:val="16"/>
              </w:rPr>
            </w:pPr>
            <w:r w:rsidRPr="001F2B93">
              <w:rPr>
                <w:rFonts w:ascii="Arial" w:hAnsi="Arial" w:cs="Arial"/>
                <w:sz w:val="16"/>
                <w:szCs w:val="16"/>
              </w:rPr>
              <w:t>50-29-3</w:t>
            </w:r>
          </w:p>
        </w:tc>
        <w:tc>
          <w:tcPr>
            <w:tcW w:w="617" w:type="dxa"/>
          </w:tcPr>
          <w:p w14:paraId="7CA0DC0D" w14:textId="77777777" w:rsidR="00E10DF9" w:rsidRPr="001F2B93" w:rsidRDefault="00E10DF9" w:rsidP="001F2B93">
            <w:pPr>
              <w:rPr>
                <w:rFonts w:ascii="Arial" w:hAnsi="Arial" w:cs="Arial"/>
                <w:sz w:val="16"/>
                <w:szCs w:val="16"/>
              </w:rPr>
            </w:pPr>
            <w:r w:rsidRPr="001F2B93">
              <w:rPr>
                <w:rFonts w:ascii="Arial" w:hAnsi="Arial" w:cs="Arial"/>
                <w:sz w:val="16"/>
                <w:szCs w:val="16"/>
              </w:rPr>
              <w:t>200-024-3</w:t>
            </w:r>
          </w:p>
        </w:tc>
        <w:tc>
          <w:tcPr>
            <w:tcW w:w="1898" w:type="dxa"/>
          </w:tcPr>
          <w:p w14:paraId="4226CFA4" w14:textId="77777777" w:rsidR="00E10DF9" w:rsidRPr="001F2B93" w:rsidRDefault="00E10DF9" w:rsidP="001F2B93">
            <w:pPr>
              <w:rPr>
                <w:rFonts w:ascii="Arial" w:hAnsi="Arial" w:cs="Arial"/>
                <w:sz w:val="16"/>
                <w:szCs w:val="16"/>
              </w:rPr>
            </w:pPr>
            <w:r w:rsidRPr="001F2B93">
              <w:rPr>
                <w:rFonts w:ascii="Arial" w:hAnsi="Arial" w:cs="Arial"/>
                <w:sz w:val="16"/>
                <w:szCs w:val="16"/>
              </w:rPr>
              <w:t>50 mg/kg</w:t>
            </w:r>
          </w:p>
        </w:tc>
        <w:tc>
          <w:tcPr>
            <w:tcW w:w="1951" w:type="dxa"/>
          </w:tcPr>
          <w:p w14:paraId="65F8963A" w14:textId="77777777" w:rsidR="00E10DF9" w:rsidRPr="001F2B93" w:rsidRDefault="00E10DF9" w:rsidP="001F2B93">
            <w:pPr>
              <w:rPr>
                <w:rFonts w:ascii="Arial" w:hAnsi="Arial" w:cs="Arial"/>
                <w:sz w:val="16"/>
                <w:szCs w:val="16"/>
              </w:rPr>
            </w:pPr>
            <w:r w:rsidRPr="001F2B93">
              <w:rPr>
                <w:rFonts w:ascii="Arial" w:hAnsi="Arial" w:cs="Arial"/>
                <w:sz w:val="16"/>
                <w:szCs w:val="16"/>
              </w:rPr>
              <w:t>I</w:t>
            </w:r>
            <w:r w:rsidRPr="001F2B93">
              <w:rPr>
                <w:rFonts w:ascii="Arial" w:hAnsi="Arial"/>
                <w:sz w:val="16"/>
                <w:szCs w:val="16"/>
              </w:rPr>
              <w:t>nsetticida</w:t>
            </w:r>
          </w:p>
        </w:tc>
        <w:tc>
          <w:tcPr>
            <w:tcW w:w="919" w:type="dxa"/>
          </w:tcPr>
          <w:p w14:paraId="0CA80C22" w14:textId="6FAFAFA3" w:rsidR="00E10DF9" w:rsidRPr="001F2B93" w:rsidRDefault="00E10DF9" w:rsidP="001F2B93">
            <w:pPr>
              <w:rPr>
                <w:rFonts w:ascii="Arial" w:hAnsi="Arial" w:cs="Arial"/>
                <w:sz w:val="16"/>
                <w:szCs w:val="16"/>
              </w:rPr>
            </w:pPr>
          </w:p>
        </w:tc>
        <w:tc>
          <w:tcPr>
            <w:tcW w:w="990" w:type="dxa"/>
          </w:tcPr>
          <w:p w14:paraId="25E63EC2" w14:textId="77777777" w:rsidR="00E10DF9" w:rsidRPr="001F2B93" w:rsidRDefault="00E10DF9" w:rsidP="001F2B93">
            <w:pPr>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0D025A1E"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c>
          <w:tcPr>
            <w:tcW w:w="574" w:type="dxa"/>
          </w:tcPr>
          <w:p w14:paraId="2E47E8DF" w14:textId="77777777" w:rsidR="00E10DF9" w:rsidRPr="001F2B93" w:rsidRDefault="00E10DF9" w:rsidP="001F2B93">
            <w:pPr>
              <w:rPr>
                <w:rFonts w:ascii="Arial" w:hAnsi="Arial" w:cs="Arial"/>
                <w:sz w:val="16"/>
                <w:szCs w:val="16"/>
              </w:rPr>
            </w:pPr>
            <w:r w:rsidRPr="001F2B93">
              <w:rPr>
                <w:rFonts w:ascii="Arial" w:hAnsi="Arial" w:cs="Arial"/>
                <w:sz w:val="16"/>
                <w:szCs w:val="16"/>
              </w:rPr>
              <w:t>NO</w:t>
            </w:r>
          </w:p>
        </w:tc>
      </w:tr>
      <w:tr w:rsidR="00E10DF9" w:rsidRPr="001F2B93" w14:paraId="44834E06" w14:textId="77777777" w:rsidTr="00DC17E3">
        <w:trPr>
          <w:jc w:val="center"/>
        </w:trPr>
        <w:tc>
          <w:tcPr>
            <w:tcW w:w="394" w:type="dxa"/>
          </w:tcPr>
          <w:p w14:paraId="4E523033" w14:textId="7755E0E9" w:rsidR="00E10DF9" w:rsidRPr="001F2B93" w:rsidRDefault="00E10DF9" w:rsidP="001F2B93">
            <w:pPr>
              <w:jc w:val="both"/>
              <w:rPr>
                <w:rFonts w:ascii="Arial" w:hAnsi="Arial" w:cs="Arial"/>
                <w:sz w:val="16"/>
                <w:szCs w:val="16"/>
              </w:rPr>
            </w:pPr>
            <w:r>
              <w:rPr>
                <w:rFonts w:ascii="Arial" w:hAnsi="Arial" w:cs="Arial"/>
                <w:sz w:val="16"/>
                <w:szCs w:val="16"/>
              </w:rPr>
              <w:t>13</w:t>
            </w:r>
          </w:p>
        </w:tc>
        <w:tc>
          <w:tcPr>
            <w:tcW w:w="2164" w:type="dxa"/>
          </w:tcPr>
          <w:p w14:paraId="5C028DB0" w14:textId="112B89CD"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Clordano</w:t>
            </w:r>
            <w:proofErr w:type="spellEnd"/>
          </w:p>
        </w:tc>
        <w:tc>
          <w:tcPr>
            <w:tcW w:w="804" w:type="dxa"/>
          </w:tcPr>
          <w:p w14:paraId="69027DA4"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57-74-9</w:t>
            </w:r>
          </w:p>
        </w:tc>
        <w:tc>
          <w:tcPr>
            <w:tcW w:w="617" w:type="dxa"/>
          </w:tcPr>
          <w:p w14:paraId="1F9ADB37"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200-349-0</w:t>
            </w:r>
          </w:p>
        </w:tc>
        <w:tc>
          <w:tcPr>
            <w:tcW w:w="1898" w:type="dxa"/>
          </w:tcPr>
          <w:p w14:paraId="12D8904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19235EE4"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7CFC10AA" w14:textId="41F1F421" w:rsidR="00E10DF9" w:rsidRPr="001F2B93" w:rsidRDefault="00E10DF9" w:rsidP="001F2B93">
            <w:pPr>
              <w:jc w:val="both"/>
              <w:rPr>
                <w:rFonts w:ascii="Arial" w:hAnsi="Arial" w:cs="Arial"/>
                <w:sz w:val="16"/>
                <w:szCs w:val="16"/>
              </w:rPr>
            </w:pPr>
          </w:p>
        </w:tc>
        <w:tc>
          <w:tcPr>
            <w:tcW w:w="990" w:type="dxa"/>
          </w:tcPr>
          <w:p w14:paraId="6D1840A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5675C42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7EF2D28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777B7405" w14:textId="77777777" w:rsidTr="00DC17E3">
        <w:trPr>
          <w:jc w:val="center"/>
        </w:trPr>
        <w:tc>
          <w:tcPr>
            <w:tcW w:w="394" w:type="dxa"/>
          </w:tcPr>
          <w:p w14:paraId="780D3FC2" w14:textId="514C3682" w:rsidR="00E10DF9" w:rsidRPr="001F2B93" w:rsidRDefault="00E10DF9" w:rsidP="001F2B93">
            <w:pPr>
              <w:jc w:val="both"/>
              <w:rPr>
                <w:rFonts w:ascii="Arial" w:hAnsi="Arial" w:cs="Arial"/>
                <w:sz w:val="16"/>
                <w:szCs w:val="16"/>
              </w:rPr>
            </w:pPr>
            <w:r>
              <w:rPr>
                <w:rFonts w:ascii="Arial" w:hAnsi="Arial" w:cs="Arial"/>
                <w:sz w:val="16"/>
                <w:szCs w:val="16"/>
              </w:rPr>
              <w:t>14</w:t>
            </w:r>
          </w:p>
        </w:tc>
        <w:tc>
          <w:tcPr>
            <w:tcW w:w="2164" w:type="dxa"/>
          </w:tcPr>
          <w:p w14:paraId="7C551305" w14:textId="420FED3E" w:rsidR="00E10DF9" w:rsidRPr="001F2B93" w:rsidRDefault="00E10DF9" w:rsidP="001F2B93">
            <w:pPr>
              <w:jc w:val="both"/>
              <w:rPr>
                <w:rFonts w:ascii="Arial" w:hAnsi="Arial" w:cs="Arial"/>
                <w:sz w:val="16"/>
                <w:szCs w:val="16"/>
              </w:rPr>
            </w:pPr>
            <w:r w:rsidRPr="001F2B93">
              <w:rPr>
                <w:rFonts w:ascii="Arial" w:hAnsi="Arial" w:cs="Arial"/>
                <w:sz w:val="16"/>
                <w:szCs w:val="16"/>
              </w:rPr>
              <w:t>Esaclorocicloesani, compreso il lindano</w:t>
            </w:r>
          </w:p>
        </w:tc>
        <w:tc>
          <w:tcPr>
            <w:tcW w:w="804" w:type="dxa"/>
          </w:tcPr>
          <w:p w14:paraId="66C794A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58-89-9 319-84-6 319-85-7 608-73-1</w:t>
            </w:r>
          </w:p>
        </w:tc>
        <w:tc>
          <w:tcPr>
            <w:tcW w:w="617" w:type="dxa"/>
          </w:tcPr>
          <w:p w14:paraId="119EFC53"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210-168-9 200-401-2 206-270-8 206-271-3</w:t>
            </w:r>
          </w:p>
        </w:tc>
        <w:tc>
          <w:tcPr>
            <w:tcW w:w="1898" w:type="dxa"/>
          </w:tcPr>
          <w:p w14:paraId="1B42C95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6C3278C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67512FC8" w14:textId="7A2F6FD3" w:rsidR="00E10DF9" w:rsidRPr="001F2B93" w:rsidRDefault="00E10DF9" w:rsidP="001F2B93">
            <w:pPr>
              <w:jc w:val="both"/>
              <w:rPr>
                <w:rFonts w:ascii="Arial" w:hAnsi="Arial" w:cs="Arial"/>
                <w:sz w:val="16"/>
                <w:szCs w:val="16"/>
              </w:rPr>
            </w:pPr>
          </w:p>
        </w:tc>
        <w:tc>
          <w:tcPr>
            <w:tcW w:w="990" w:type="dxa"/>
          </w:tcPr>
          <w:p w14:paraId="30A2E74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749007B4"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54846DF7"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15DE10C5" w14:textId="77777777" w:rsidTr="00DC17E3">
        <w:trPr>
          <w:jc w:val="center"/>
        </w:trPr>
        <w:tc>
          <w:tcPr>
            <w:tcW w:w="394" w:type="dxa"/>
          </w:tcPr>
          <w:p w14:paraId="40B7A08B" w14:textId="27B8A6FA" w:rsidR="00E10DF9" w:rsidRPr="001F2B93" w:rsidRDefault="00E10DF9" w:rsidP="001F2B93">
            <w:pPr>
              <w:jc w:val="both"/>
              <w:rPr>
                <w:rFonts w:ascii="Arial" w:hAnsi="Arial" w:cs="Arial"/>
                <w:sz w:val="16"/>
                <w:szCs w:val="16"/>
              </w:rPr>
            </w:pPr>
            <w:r>
              <w:rPr>
                <w:rFonts w:ascii="Arial" w:hAnsi="Arial" w:cs="Arial"/>
                <w:sz w:val="16"/>
                <w:szCs w:val="16"/>
              </w:rPr>
              <w:t>15</w:t>
            </w:r>
          </w:p>
        </w:tc>
        <w:tc>
          <w:tcPr>
            <w:tcW w:w="2164" w:type="dxa"/>
          </w:tcPr>
          <w:p w14:paraId="561ED51B" w14:textId="2F53E652"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Dieldrin</w:t>
            </w:r>
            <w:proofErr w:type="spellEnd"/>
          </w:p>
        </w:tc>
        <w:tc>
          <w:tcPr>
            <w:tcW w:w="804" w:type="dxa"/>
          </w:tcPr>
          <w:p w14:paraId="77E25F3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60-57-1</w:t>
            </w:r>
          </w:p>
        </w:tc>
        <w:tc>
          <w:tcPr>
            <w:tcW w:w="617" w:type="dxa"/>
          </w:tcPr>
          <w:p w14:paraId="426BF58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200-484-5</w:t>
            </w:r>
          </w:p>
        </w:tc>
        <w:tc>
          <w:tcPr>
            <w:tcW w:w="1898" w:type="dxa"/>
          </w:tcPr>
          <w:p w14:paraId="42B83F7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3168CF1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1CDD8B09" w14:textId="08E1E9B1" w:rsidR="00E10DF9" w:rsidRPr="001F2B93" w:rsidRDefault="00E10DF9" w:rsidP="001F2B93">
            <w:pPr>
              <w:jc w:val="both"/>
              <w:rPr>
                <w:rFonts w:ascii="Arial" w:hAnsi="Arial" w:cs="Arial"/>
                <w:sz w:val="16"/>
                <w:szCs w:val="16"/>
              </w:rPr>
            </w:pPr>
          </w:p>
        </w:tc>
        <w:tc>
          <w:tcPr>
            <w:tcW w:w="990" w:type="dxa"/>
          </w:tcPr>
          <w:p w14:paraId="7A2B9E6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7668AFD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292F47B1"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32A49FE6" w14:textId="77777777" w:rsidTr="00DC17E3">
        <w:trPr>
          <w:jc w:val="center"/>
        </w:trPr>
        <w:tc>
          <w:tcPr>
            <w:tcW w:w="394" w:type="dxa"/>
          </w:tcPr>
          <w:p w14:paraId="399B9237" w14:textId="4C1881A4" w:rsidR="00E10DF9" w:rsidRPr="001F2B93" w:rsidRDefault="00E10DF9" w:rsidP="001F2B93">
            <w:pPr>
              <w:jc w:val="both"/>
              <w:rPr>
                <w:rFonts w:ascii="Arial" w:hAnsi="Arial" w:cs="Arial"/>
                <w:sz w:val="16"/>
                <w:szCs w:val="16"/>
              </w:rPr>
            </w:pPr>
            <w:r>
              <w:rPr>
                <w:rFonts w:ascii="Arial" w:hAnsi="Arial" w:cs="Arial"/>
                <w:sz w:val="16"/>
                <w:szCs w:val="16"/>
              </w:rPr>
              <w:t>16</w:t>
            </w:r>
          </w:p>
        </w:tc>
        <w:tc>
          <w:tcPr>
            <w:tcW w:w="2164" w:type="dxa"/>
          </w:tcPr>
          <w:p w14:paraId="03360347" w14:textId="5F96DCA5"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Endrin</w:t>
            </w:r>
            <w:proofErr w:type="spellEnd"/>
          </w:p>
        </w:tc>
        <w:tc>
          <w:tcPr>
            <w:tcW w:w="804" w:type="dxa"/>
          </w:tcPr>
          <w:p w14:paraId="4A2866A0"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72-20-8</w:t>
            </w:r>
          </w:p>
        </w:tc>
        <w:tc>
          <w:tcPr>
            <w:tcW w:w="617" w:type="dxa"/>
          </w:tcPr>
          <w:p w14:paraId="0AF5EBE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200-775-7</w:t>
            </w:r>
          </w:p>
        </w:tc>
        <w:tc>
          <w:tcPr>
            <w:tcW w:w="1898" w:type="dxa"/>
          </w:tcPr>
          <w:p w14:paraId="1768F83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3106CE90"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 xml:space="preserve">Insetticida, </w:t>
            </w:r>
            <w:proofErr w:type="spellStart"/>
            <w:proofErr w:type="gramStart"/>
            <w:r w:rsidRPr="001F2B93">
              <w:rPr>
                <w:rFonts w:ascii="Arial" w:hAnsi="Arial" w:cs="Arial"/>
                <w:sz w:val="16"/>
                <w:szCs w:val="16"/>
              </w:rPr>
              <w:t>rodenticida,pescicida</w:t>
            </w:r>
            <w:proofErr w:type="spellEnd"/>
            <w:proofErr w:type="gramEnd"/>
          </w:p>
        </w:tc>
        <w:tc>
          <w:tcPr>
            <w:tcW w:w="919" w:type="dxa"/>
          </w:tcPr>
          <w:p w14:paraId="6D2F44D3" w14:textId="5DCEDE7A" w:rsidR="00E10DF9" w:rsidRPr="001F2B93" w:rsidRDefault="00E10DF9" w:rsidP="001F2B93">
            <w:pPr>
              <w:jc w:val="both"/>
              <w:rPr>
                <w:rFonts w:ascii="Arial" w:hAnsi="Arial" w:cs="Arial"/>
                <w:sz w:val="16"/>
                <w:szCs w:val="16"/>
              </w:rPr>
            </w:pPr>
          </w:p>
        </w:tc>
        <w:tc>
          <w:tcPr>
            <w:tcW w:w="990" w:type="dxa"/>
          </w:tcPr>
          <w:p w14:paraId="49703CA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71D4939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032EBA10"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76B44557" w14:textId="77777777" w:rsidTr="00DC17E3">
        <w:trPr>
          <w:jc w:val="center"/>
        </w:trPr>
        <w:tc>
          <w:tcPr>
            <w:tcW w:w="394" w:type="dxa"/>
          </w:tcPr>
          <w:p w14:paraId="14244A03" w14:textId="1D352756" w:rsidR="00E10DF9" w:rsidRPr="001F2B93" w:rsidRDefault="00E10DF9" w:rsidP="001F2B93">
            <w:pPr>
              <w:jc w:val="both"/>
              <w:rPr>
                <w:rFonts w:ascii="Arial" w:hAnsi="Arial" w:cs="Arial"/>
                <w:sz w:val="16"/>
                <w:szCs w:val="16"/>
              </w:rPr>
            </w:pPr>
            <w:r>
              <w:rPr>
                <w:rFonts w:ascii="Arial" w:hAnsi="Arial" w:cs="Arial"/>
                <w:sz w:val="16"/>
                <w:szCs w:val="16"/>
              </w:rPr>
              <w:t>17</w:t>
            </w:r>
          </w:p>
        </w:tc>
        <w:tc>
          <w:tcPr>
            <w:tcW w:w="2164" w:type="dxa"/>
          </w:tcPr>
          <w:p w14:paraId="70971B36" w14:textId="20450D84"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Eptacloro</w:t>
            </w:r>
            <w:proofErr w:type="spellEnd"/>
          </w:p>
        </w:tc>
        <w:tc>
          <w:tcPr>
            <w:tcW w:w="804" w:type="dxa"/>
          </w:tcPr>
          <w:p w14:paraId="6FFBE39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76-44-8</w:t>
            </w:r>
          </w:p>
        </w:tc>
        <w:tc>
          <w:tcPr>
            <w:tcW w:w="617" w:type="dxa"/>
          </w:tcPr>
          <w:p w14:paraId="2D573D8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200-962-3</w:t>
            </w:r>
          </w:p>
        </w:tc>
        <w:tc>
          <w:tcPr>
            <w:tcW w:w="1898" w:type="dxa"/>
          </w:tcPr>
          <w:p w14:paraId="06E0088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5BB434D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2B5C7B2B" w14:textId="6439CA7B" w:rsidR="00E10DF9" w:rsidRPr="001F2B93" w:rsidRDefault="00E10DF9" w:rsidP="001F2B93">
            <w:pPr>
              <w:jc w:val="both"/>
              <w:rPr>
                <w:rFonts w:ascii="Arial" w:hAnsi="Arial" w:cs="Arial"/>
                <w:sz w:val="16"/>
                <w:szCs w:val="16"/>
              </w:rPr>
            </w:pPr>
          </w:p>
        </w:tc>
        <w:tc>
          <w:tcPr>
            <w:tcW w:w="990" w:type="dxa"/>
          </w:tcPr>
          <w:p w14:paraId="15EDF0A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6435C37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7D9921D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0743EBC1" w14:textId="77777777" w:rsidTr="00DC17E3">
        <w:trPr>
          <w:jc w:val="center"/>
        </w:trPr>
        <w:tc>
          <w:tcPr>
            <w:tcW w:w="394" w:type="dxa"/>
          </w:tcPr>
          <w:p w14:paraId="34400DC1" w14:textId="0760A8F3" w:rsidR="00E10DF9" w:rsidRPr="001F2B93" w:rsidRDefault="00E10DF9" w:rsidP="001F2B93">
            <w:pPr>
              <w:jc w:val="both"/>
              <w:rPr>
                <w:rFonts w:ascii="Arial" w:hAnsi="Arial" w:cs="Arial"/>
                <w:sz w:val="16"/>
                <w:szCs w:val="16"/>
              </w:rPr>
            </w:pPr>
            <w:r>
              <w:rPr>
                <w:rFonts w:ascii="Arial" w:hAnsi="Arial" w:cs="Arial"/>
                <w:sz w:val="16"/>
                <w:szCs w:val="16"/>
              </w:rPr>
              <w:t>18</w:t>
            </w:r>
          </w:p>
        </w:tc>
        <w:tc>
          <w:tcPr>
            <w:tcW w:w="2164" w:type="dxa"/>
          </w:tcPr>
          <w:p w14:paraId="7CD50DC4" w14:textId="4F380C63"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Esaclorobenzene</w:t>
            </w:r>
            <w:proofErr w:type="spellEnd"/>
          </w:p>
        </w:tc>
        <w:tc>
          <w:tcPr>
            <w:tcW w:w="804" w:type="dxa"/>
          </w:tcPr>
          <w:p w14:paraId="147E1F74"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118-74-1</w:t>
            </w:r>
          </w:p>
        </w:tc>
        <w:tc>
          <w:tcPr>
            <w:tcW w:w="617" w:type="dxa"/>
          </w:tcPr>
          <w:p w14:paraId="4589535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200-273-9</w:t>
            </w:r>
          </w:p>
        </w:tc>
        <w:tc>
          <w:tcPr>
            <w:tcW w:w="1898" w:type="dxa"/>
          </w:tcPr>
          <w:p w14:paraId="40504020"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61B8D29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Fungicida</w:t>
            </w:r>
          </w:p>
        </w:tc>
        <w:tc>
          <w:tcPr>
            <w:tcW w:w="919" w:type="dxa"/>
          </w:tcPr>
          <w:p w14:paraId="0A73787F" w14:textId="1819BA8F" w:rsidR="00E10DF9" w:rsidRPr="001F2B93" w:rsidRDefault="00E10DF9" w:rsidP="001F2B93">
            <w:pPr>
              <w:jc w:val="both"/>
              <w:rPr>
                <w:rFonts w:ascii="Arial" w:hAnsi="Arial" w:cs="Arial"/>
                <w:sz w:val="16"/>
                <w:szCs w:val="16"/>
              </w:rPr>
            </w:pPr>
          </w:p>
        </w:tc>
        <w:tc>
          <w:tcPr>
            <w:tcW w:w="990" w:type="dxa"/>
          </w:tcPr>
          <w:p w14:paraId="0AE255D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2804BBD4"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58A684D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1FA0C6EF" w14:textId="77777777" w:rsidTr="00DC17E3">
        <w:trPr>
          <w:jc w:val="center"/>
        </w:trPr>
        <w:tc>
          <w:tcPr>
            <w:tcW w:w="394" w:type="dxa"/>
          </w:tcPr>
          <w:p w14:paraId="2CADA8C6" w14:textId="42CE4AB8" w:rsidR="00E10DF9" w:rsidRPr="001F2B93" w:rsidRDefault="00E10DF9" w:rsidP="001F2B93">
            <w:pPr>
              <w:jc w:val="both"/>
              <w:rPr>
                <w:rFonts w:ascii="Arial" w:hAnsi="Arial" w:cs="Arial"/>
                <w:sz w:val="16"/>
                <w:szCs w:val="16"/>
              </w:rPr>
            </w:pPr>
            <w:r>
              <w:rPr>
                <w:rFonts w:ascii="Arial" w:hAnsi="Arial" w:cs="Arial"/>
                <w:sz w:val="16"/>
                <w:szCs w:val="16"/>
              </w:rPr>
              <w:t>19</w:t>
            </w:r>
          </w:p>
        </w:tc>
        <w:tc>
          <w:tcPr>
            <w:tcW w:w="2164" w:type="dxa"/>
          </w:tcPr>
          <w:p w14:paraId="53B7F9F1" w14:textId="185C6C26"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Clordecone</w:t>
            </w:r>
            <w:proofErr w:type="spellEnd"/>
          </w:p>
        </w:tc>
        <w:tc>
          <w:tcPr>
            <w:tcW w:w="804" w:type="dxa"/>
          </w:tcPr>
          <w:p w14:paraId="53FC808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143-50-0</w:t>
            </w:r>
          </w:p>
        </w:tc>
        <w:tc>
          <w:tcPr>
            <w:tcW w:w="617" w:type="dxa"/>
          </w:tcPr>
          <w:p w14:paraId="18DC4737"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205-601-3</w:t>
            </w:r>
          </w:p>
        </w:tc>
        <w:tc>
          <w:tcPr>
            <w:tcW w:w="1898" w:type="dxa"/>
          </w:tcPr>
          <w:p w14:paraId="55A4BFF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2C65C01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56875699" w14:textId="2E16CCAD" w:rsidR="00E10DF9" w:rsidRPr="001F2B93" w:rsidRDefault="00E10DF9" w:rsidP="001F2B93">
            <w:pPr>
              <w:jc w:val="both"/>
              <w:rPr>
                <w:rFonts w:ascii="Arial" w:hAnsi="Arial" w:cs="Arial"/>
                <w:sz w:val="16"/>
                <w:szCs w:val="16"/>
              </w:rPr>
            </w:pPr>
          </w:p>
        </w:tc>
        <w:tc>
          <w:tcPr>
            <w:tcW w:w="990" w:type="dxa"/>
          </w:tcPr>
          <w:p w14:paraId="21120B6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4C4CC78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3890A1E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42952CA3" w14:textId="77777777" w:rsidTr="00DC17E3">
        <w:trPr>
          <w:jc w:val="center"/>
        </w:trPr>
        <w:tc>
          <w:tcPr>
            <w:tcW w:w="394" w:type="dxa"/>
          </w:tcPr>
          <w:p w14:paraId="6A73B378" w14:textId="70921492" w:rsidR="00E10DF9" w:rsidRPr="001F2B93" w:rsidRDefault="00E10DF9" w:rsidP="001F2B93">
            <w:pPr>
              <w:jc w:val="both"/>
              <w:rPr>
                <w:rFonts w:ascii="Arial" w:hAnsi="Arial" w:cs="Arial"/>
                <w:sz w:val="16"/>
                <w:szCs w:val="16"/>
              </w:rPr>
            </w:pPr>
            <w:r>
              <w:rPr>
                <w:rFonts w:ascii="Arial" w:hAnsi="Arial" w:cs="Arial"/>
                <w:sz w:val="16"/>
                <w:szCs w:val="16"/>
              </w:rPr>
              <w:t>20</w:t>
            </w:r>
          </w:p>
        </w:tc>
        <w:tc>
          <w:tcPr>
            <w:tcW w:w="2164" w:type="dxa"/>
          </w:tcPr>
          <w:p w14:paraId="75FC7D63" w14:textId="1D308BE6" w:rsidR="00E10DF9" w:rsidRPr="001F2B93" w:rsidRDefault="00E10DF9" w:rsidP="001F2B93">
            <w:pPr>
              <w:jc w:val="both"/>
              <w:rPr>
                <w:rFonts w:ascii="Arial" w:hAnsi="Arial" w:cs="Arial"/>
                <w:sz w:val="16"/>
                <w:szCs w:val="16"/>
              </w:rPr>
            </w:pPr>
            <w:r w:rsidRPr="001F2B93">
              <w:rPr>
                <w:rFonts w:ascii="Arial" w:hAnsi="Arial" w:cs="Arial"/>
                <w:sz w:val="16"/>
                <w:szCs w:val="16"/>
              </w:rPr>
              <w:t>Aldrin</w:t>
            </w:r>
          </w:p>
        </w:tc>
        <w:tc>
          <w:tcPr>
            <w:tcW w:w="804" w:type="dxa"/>
          </w:tcPr>
          <w:p w14:paraId="72633280"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309-00-2</w:t>
            </w:r>
          </w:p>
        </w:tc>
        <w:tc>
          <w:tcPr>
            <w:tcW w:w="617" w:type="dxa"/>
          </w:tcPr>
          <w:p w14:paraId="62955C4C"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206-215-8</w:t>
            </w:r>
          </w:p>
        </w:tc>
        <w:tc>
          <w:tcPr>
            <w:tcW w:w="1898" w:type="dxa"/>
          </w:tcPr>
          <w:p w14:paraId="1702BCE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5F16D0D3"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09560ABE" w14:textId="3BB6E2B0" w:rsidR="00E10DF9" w:rsidRPr="001F2B93" w:rsidRDefault="00E10DF9" w:rsidP="001F2B93">
            <w:pPr>
              <w:jc w:val="both"/>
              <w:rPr>
                <w:rFonts w:ascii="Arial" w:hAnsi="Arial" w:cs="Arial"/>
                <w:sz w:val="16"/>
                <w:szCs w:val="16"/>
              </w:rPr>
            </w:pPr>
          </w:p>
        </w:tc>
        <w:tc>
          <w:tcPr>
            <w:tcW w:w="990" w:type="dxa"/>
          </w:tcPr>
          <w:p w14:paraId="44E6D791"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66E8A68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06493C2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579CCF47" w14:textId="77777777" w:rsidTr="00DC17E3">
        <w:trPr>
          <w:jc w:val="center"/>
        </w:trPr>
        <w:tc>
          <w:tcPr>
            <w:tcW w:w="394" w:type="dxa"/>
          </w:tcPr>
          <w:p w14:paraId="19CD1362" w14:textId="488430F7" w:rsidR="00E10DF9" w:rsidRPr="001F2B93" w:rsidRDefault="00E10DF9" w:rsidP="001F2B93">
            <w:pPr>
              <w:jc w:val="both"/>
              <w:rPr>
                <w:rFonts w:ascii="Arial" w:hAnsi="Arial" w:cs="Arial"/>
                <w:sz w:val="16"/>
                <w:szCs w:val="16"/>
              </w:rPr>
            </w:pPr>
            <w:r>
              <w:rPr>
                <w:rFonts w:ascii="Arial" w:hAnsi="Arial" w:cs="Arial"/>
                <w:sz w:val="16"/>
                <w:szCs w:val="16"/>
              </w:rPr>
              <w:t>21</w:t>
            </w:r>
          </w:p>
        </w:tc>
        <w:tc>
          <w:tcPr>
            <w:tcW w:w="2164" w:type="dxa"/>
          </w:tcPr>
          <w:p w14:paraId="6FDE30D8" w14:textId="73B8F648"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Pentaclorobenzene</w:t>
            </w:r>
            <w:proofErr w:type="spellEnd"/>
          </w:p>
        </w:tc>
        <w:tc>
          <w:tcPr>
            <w:tcW w:w="804" w:type="dxa"/>
          </w:tcPr>
          <w:p w14:paraId="3A04C12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608-93-5</w:t>
            </w:r>
          </w:p>
        </w:tc>
        <w:tc>
          <w:tcPr>
            <w:tcW w:w="617" w:type="dxa"/>
          </w:tcPr>
          <w:p w14:paraId="63740582"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210-172-5</w:t>
            </w:r>
          </w:p>
        </w:tc>
        <w:tc>
          <w:tcPr>
            <w:tcW w:w="1898" w:type="dxa"/>
          </w:tcPr>
          <w:p w14:paraId="7504397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3E1DAA5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Lubrificante, fluido dielettrico</w:t>
            </w:r>
          </w:p>
        </w:tc>
        <w:tc>
          <w:tcPr>
            <w:tcW w:w="919" w:type="dxa"/>
          </w:tcPr>
          <w:p w14:paraId="131D1EFB" w14:textId="72234B9B" w:rsidR="00E10DF9" w:rsidRPr="001F2B93" w:rsidRDefault="00E10DF9" w:rsidP="001F2B93">
            <w:pPr>
              <w:jc w:val="both"/>
              <w:rPr>
                <w:rFonts w:ascii="Arial" w:hAnsi="Arial" w:cs="Arial"/>
                <w:sz w:val="16"/>
                <w:szCs w:val="16"/>
              </w:rPr>
            </w:pPr>
          </w:p>
        </w:tc>
        <w:tc>
          <w:tcPr>
            <w:tcW w:w="990" w:type="dxa"/>
          </w:tcPr>
          <w:p w14:paraId="5F3A4651"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59A8880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3177AFB7"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463D0CD3" w14:textId="77777777" w:rsidTr="00DC17E3">
        <w:trPr>
          <w:jc w:val="center"/>
        </w:trPr>
        <w:tc>
          <w:tcPr>
            <w:tcW w:w="394" w:type="dxa"/>
          </w:tcPr>
          <w:p w14:paraId="5A583798" w14:textId="393C57BD" w:rsidR="00E10DF9" w:rsidRPr="001F2B93" w:rsidRDefault="00E10DF9" w:rsidP="001F2B93">
            <w:pPr>
              <w:jc w:val="both"/>
              <w:rPr>
                <w:rFonts w:ascii="Arial" w:hAnsi="Arial" w:cs="Arial"/>
                <w:sz w:val="16"/>
                <w:szCs w:val="16"/>
              </w:rPr>
            </w:pPr>
            <w:r>
              <w:rPr>
                <w:rFonts w:ascii="Arial" w:hAnsi="Arial" w:cs="Arial"/>
                <w:sz w:val="16"/>
                <w:szCs w:val="16"/>
              </w:rPr>
              <w:lastRenderedPageBreak/>
              <w:t>22</w:t>
            </w:r>
          </w:p>
        </w:tc>
        <w:tc>
          <w:tcPr>
            <w:tcW w:w="2164" w:type="dxa"/>
            <w:shd w:val="clear" w:color="auto" w:fill="auto"/>
          </w:tcPr>
          <w:p w14:paraId="35C8C1CB" w14:textId="6B6D4761" w:rsidR="00E10DF9" w:rsidRPr="001F2B93" w:rsidRDefault="00E10DF9" w:rsidP="001F2B93">
            <w:pPr>
              <w:jc w:val="both"/>
              <w:rPr>
                <w:rFonts w:ascii="Arial" w:hAnsi="Arial" w:cs="Arial"/>
                <w:sz w:val="16"/>
                <w:szCs w:val="16"/>
              </w:rPr>
            </w:pPr>
            <w:r w:rsidRPr="001F2B93">
              <w:rPr>
                <w:rFonts w:ascii="Arial" w:hAnsi="Arial" w:cs="Arial"/>
                <w:sz w:val="16"/>
                <w:szCs w:val="16"/>
              </w:rPr>
              <w:t>Bifenili policlorurati (PCB)</w:t>
            </w:r>
          </w:p>
        </w:tc>
        <w:tc>
          <w:tcPr>
            <w:tcW w:w="804" w:type="dxa"/>
            <w:shd w:val="clear" w:color="auto" w:fill="auto"/>
          </w:tcPr>
          <w:p w14:paraId="71BF4AE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1336-36-3 e altri</w:t>
            </w:r>
          </w:p>
        </w:tc>
        <w:tc>
          <w:tcPr>
            <w:tcW w:w="617" w:type="dxa"/>
            <w:shd w:val="clear" w:color="auto" w:fill="auto"/>
          </w:tcPr>
          <w:p w14:paraId="52A98F0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215-648-1</w:t>
            </w:r>
          </w:p>
        </w:tc>
        <w:tc>
          <w:tcPr>
            <w:tcW w:w="1898" w:type="dxa"/>
            <w:shd w:val="clear" w:color="auto" w:fill="auto"/>
          </w:tcPr>
          <w:p w14:paraId="4DE0FD5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 (3)</w:t>
            </w:r>
          </w:p>
        </w:tc>
        <w:tc>
          <w:tcPr>
            <w:tcW w:w="1951" w:type="dxa"/>
            <w:shd w:val="clear" w:color="auto" w:fill="auto"/>
          </w:tcPr>
          <w:p w14:paraId="4B641832"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Isolante, dielettrico</w:t>
            </w:r>
          </w:p>
        </w:tc>
        <w:tc>
          <w:tcPr>
            <w:tcW w:w="919" w:type="dxa"/>
            <w:shd w:val="clear" w:color="auto" w:fill="auto"/>
          </w:tcPr>
          <w:p w14:paraId="5A012056" w14:textId="4F187910" w:rsidR="00E10DF9" w:rsidRPr="001F2B93" w:rsidRDefault="00E10DF9" w:rsidP="001F2B93">
            <w:pPr>
              <w:jc w:val="both"/>
              <w:rPr>
                <w:rFonts w:ascii="Arial" w:hAnsi="Arial" w:cs="Arial"/>
                <w:sz w:val="16"/>
                <w:szCs w:val="16"/>
              </w:rPr>
            </w:pPr>
          </w:p>
        </w:tc>
        <w:tc>
          <w:tcPr>
            <w:tcW w:w="990" w:type="dxa"/>
            <w:shd w:val="clear" w:color="auto" w:fill="auto"/>
          </w:tcPr>
          <w:p w14:paraId="78426BD7"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shd w:val="clear" w:color="auto" w:fill="auto"/>
          </w:tcPr>
          <w:p w14:paraId="273006D3"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shd w:val="clear" w:color="auto" w:fill="auto"/>
          </w:tcPr>
          <w:p w14:paraId="78829FE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457A02AB" w14:textId="77777777" w:rsidTr="00DC17E3">
        <w:trPr>
          <w:jc w:val="center"/>
        </w:trPr>
        <w:tc>
          <w:tcPr>
            <w:tcW w:w="394" w:type="dxa"/>
          </w:tcPr>
          <w:p w14:paraId="58F5C66E" w14:textId="7B18AC97" w:rsidR="00E10DF9" w:rsidRPr="001F2B93" w:rsidRDefault="00E10DF9" w:rsidP="001F2B93">
            <w:pPr>
              <w:jc w:val="both"/>
              <w:rPr>
                <w:rFonts w:ascii="Arial" w:hAnsi="Arial" w:cs="Arial"/>
                <w:sz w:val="16"/>
                <w:szCs w:val="16"/>
              </w:rPr>
            </w:pPr>
            <w:r>
              <w:rPr>
                <w:rFonts w:ascii="Arial" w:hAnsi="Arial" w:cs="Arial"/>
                <w:sz w:val="16"/>
                <w:szCs w:val="16"/>
              </w:rPr>
              <w:t>23</w:t>
            </w:r>
          </w:p>
        </w:tc>
        <w:tc>
          <w:tcPr>
            <w:tcW w:w="2164" w:type="dxa"/>
          </w:tcPr>
          <w:p w14:paraId="2F21E594" w14:textId="055996AB"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Mirex</w:t>
            </w:r>
            <w:proofErr w:type="spellEnd"/>
          </w:p>
        </w:tc>
        <w:tc>
          <w:tcPr>
            <w:tcW w:w="804" w:type="dxa"/>
          </w:tcPr>
          <w:p w14:paraId="427119F6"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2385-85-5</w:t>
            </w:r>
          </w:p>
        </w:tc>
        <w:tc>
          <w:tcPr>
            <w:tcW w:w="617" w:type="dxa"/>
          </w:tcPr>
          <w:p w14:paraId="07FDB8E1"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219-196-6</w:t>
            </w:r>
          </w:p>
        </w:tc>
        <w:tc>
          <w:tcPr>
            <w:tcW w:w="1898" w:type="dxa"/>
          </w:tcPr>
          <w:p w14:paraId="2BAA404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3D714BB2"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3E71CC52" w14:textId="78E9291C" w:rsidR="00E10DF9" w:rsidRPr="001F2B93" w:rsidRDefault="00E10DF9" w:rsidP="001F2B93">
            <w:pPr>
              <w:jc w:val="both"/>
              <w:rPr>
                <w:rFonts w:ascii="Arial" w:hAnsi="Arial" w:cs="Arial"/>
                <w:sz w:val="16"/>
                <w:szCs w:val="16"/>
              </w:rPr>
            </w:pPr>
          </w:p>
        </w:tc>
        <w:tc>
          <w:tcPr>
            <w:tcW w:w="990" w:type="dxa"/>
          </w:tcPr>
          <w:p w14:paraId="2EB84BC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6F3F8035"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72266192"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6D6F8011" w14:textId="77777777" w:rsidTr="00DC17E3">
        <w:trPr>
          <w:jc w:val="center"/>
        </w:trPr>
        <w:tc>
          <w:tcPr>
            <w:tcW w:w="394" w:type="dxa"/>
          </w:tcPr>
          <w:p w14:paraId="59BF714B" w14:textId="733BAF04" w:rsidR="00E10DF9" w:rsidRPr="001F2B93" w:rsidRDefault="00E10DF9" w:rsidP="001F2B93">
            <w:pPr>
              <w:jc w:val="both"/>
              <w:rPr>
                <w:rFonts w:ascii="Arial" w:hAnsi="Arial" w:cs="Arial"/>
                <w:sz w:val="16"/>
                <w:szCs w:val="16"/>
              </w:rPr>
            </w:pPr>
            <w:r>
              <w:rPr>
                <w:rFonts w:ascii="Arial" w:hAnsi="Arial" w:cs="Arial"/>
                <w:sz w:val="16"/>
                <w:szCs w:val="16"/>
              </w:rPr>
              <w:t>24</w:t>
            </w:r>
          </w:p>
        </w:tc>
        <w:tc>
          <w:tcPr>
            <w:tcW w:w="2164" w:type="dxa"/>
          </w:tcPr>
          <w:p w14:paraId="74C531DC" w14:textId="67CA5F85" w:rsidR="00E10DF9" w:rsidRPr="001F2B93" w:rsidRDefault="00E10DF9" w:rsidP="001F2B93">
            <w:pPr>
              <w:jc w:val="both"/>
              <w:rPr>
                <w:rFonts w:ascii="Arial" w:hAnsi="Arial" w:cs="Arial"/>
                <w:sz w:val="16"/>
                <w:szCs w:val="16"/>
              </w:rPr>
            </w:pPr>
            <w:r w:rsidRPr="001F2B93">
              <w:rPr>
                <w:rFonts w:ascii="Arial" w:hAnsi="Arial" w:cs="Arial"/>
                <w:sz w:val="16"/>
                <w:szCs w:val="16"/>
              </w:rPr>
              <w:t>Toxafene</w:t>
            </w:r>
          </w:p>
        </w:tc>
        <w:tc>
          <w:tcPr>
            <w:tcW w:w="804" w:type="dxa"/>
          </w:tcPr>
          <w:p w14:paraId="4C16B9A9"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8001-35-2</w:t>
            </w:r>
          </w:p>
        </w:tc>
        <w:tc>
          <w:tcPr>
            <w:tcW w:w="617" w:type="dxa"/>
          </w:tcPr>
          <w:p w14:paraId="1EDD623C"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232-283-3</w:t>
            </w:r>
          </w:p>
        </w:tc>
        <w:tc>
          <w:tcPr>
            <w:tcW w:w="1898" w:type="dxa"/>
          </w:tcPr>
          <w:p w14:paraId="2E0E6978"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79F0F9FB"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Insetticida</w:t>
            </w:r>
          </w:p>
        </w:tc>
        <w:tc>
          <w:tcPr>
            <w:tcW w:w="919" w:type="dxa"/>
          </w:tcPr>
          <w:p w14:paraId="2CB306C6" w14:textId="23DB1042" w:rsidR="00E10DF9" w:rsidRPr="001F2B93" w:rsidRDefault="00E10DF9" w:rsidP="001F2B93">
            <w:pPr>
              <w:jc w:val="both"/>
              <w:rPr>
                <w:rFonts w:ascii="Arial" w:hAnsi="Arial" w:cs="Arial"/>
                <w:sz w:val="16"/>
                <w:szCs w:val="16"/>
              </w:rPr>
            </w:pPr>
          </w:p>
        </w:tc>
        <w:tc>
          <w:tcPr>
            <w:tcW w:w="990" w:type="dxa"/>
          </w:tcPr>
          <w:p w14:paraId="6B17A5AE"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053BF68E"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c>
          <w:tcPr>
            <w:tcW w:w="574" w:type="dxa"/>
          </w:tcPr>
          <w:p w14:paraId="686E6041"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NO</w:t>
            </w:r>
          </w:p>
        </w:tc>
      </w:tr>
      <w:tr w:rsidR="00E10DF9" w:rsidRPr="001F2B93" w14:paraId="637289D3" w14:textId="77777777" w:rsidTr="00DC17E3">
        <w:trPr>
          <w:jc w:val="center"/>
        </w:trPr>
        <w:tc>
          <w:tcPr>
            <w:tcW w:w="394" w:type="dxa"/>
          </w:tcPr>
          <w:p w14:paraId="245BA1A1" w14:textId="0EE77A44" w:rsidR="00E10DF9" w:rsidRPr="001F2B93" w:rsidRDefault="00E10DF9" w:rsidP="001F2B93">
            <w:pPr>
              <w:jc w:val="both"/>
              <w:rPr>
                <w:rFonts w:ascii="Arial" w:hAnsi="Arial" w:cs="Arial"/>
                <w:sz w:val="16"/>
                <w:szCs w:val="16"/>
              </w:rPr>
            </w:pPr>
            <w:r>
              <w:rPr>
                <w:rFonts w:ascii="Arial" w:hAnsi="Arial" w:cs="Arial"/>
                <w:sz w:val="16"/>
                <w:szCs w:val="16"/>
              </w:rPr>
              <w:t>25</w:t>
            </w:r>
          </w:p>
        </w:tc>
        <w:tc>
          <w:tcPr>
            <w:tcW w:w="2164" w:type="dxa"/>
          </w:tcPr>
          <w:p w14:paraId="6990FFF0" w14:textId="206A2D61" w:rsidR="00E10DF9" w:rsidRPr="001F2B93" w:rsidRDefault="00E10DF9" w:rsidP="001F2B93">
            <w:pPr>
              <w:jc w:val="both"/>
              <w:rPr>
                <w:rFonts w:ascii="Arial" w:hAnsi="Arial" w:cs="Arial"/>
                <w:sz w:val="16"/>
                <w:szCs w:val="16"/>
              </w:rPr>
            </w:pPr>
            <w:proofErr w:type="spellStart"/>
            <w:r w:rsidRPr="001F2B93">
              <w:rPr>
                <w:rFonts w:ascii="Arial" w:hAnsi="Arial" w:cs="Arial"/>
                <w:sz w:val="16"/>
                <w:szCs w:val="16"/>
              </w:rPr>
              <w:t>Esabromobifenile</w:t>
            </w:r>
            <w:proofErr w:type="spellEnd"/>
          </w:p>
        </w:tc>
        <w:tc>
          <w:tcPr>
            <w:tcW w:w="804" w:type="dxa"/>
          </w:tcPr>
          <w:p w14:paraId="7AB78C73"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36355-01-8</w:t>
            </w:r>
          </w:p>
        </w:tc>
        <w:tc>
          <w:tcPr>
            <w:tcW w:w="617" w:type="dxa"/>
          </w:tcPr>
          <w:p w14:paraId="6E94180D"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252-994-2</w:t>
            </w:r>
          </w:p>
        </w:tc>
        <w:tc>
          <w:tcPr>
            <w:tcW w:w="1898" w:type="dxa"/>
          </w:tcPr>
          <w:p w14:paraId="426BA9B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50 mg/kg</w:t>
            </w:r>
          </w:p>
        </w:tc>
        <w:tc>
          <w:tcPr>
            <w:tcW w:w="1951" w:type="dxa"/>
          </w:tcPr>
          <w:p w14:paraId="375B19EA"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Ritardante di fiamma</w:t>
            </w:r>
          </w:p>
        </w:tc>
        <w:tc>
          <w:tcPr>
            <w:tcW w:w="919" w:type="dxa"/>
          </w:tcPr>
          <w:p w14:paraId="3CFDFB94" w14:textId="260B7BD6" w:rsidR="00E10DF9" w:rsidRPr="001F2B93" w:rsidRDefault="00E10DF9" w:rsidP="001F2B93">
            <w:pPr>
              <w:jc w:val="both"/>
              <w:rPr>
                <w:rFonts w:ascii="Arial" w:hAnsi="Arial" w:cs="Arial"/>
                <w:sz w:val="16"/>
                <w:szCs w:val="16"/>
              </w:rPr>
            </w:pPr>
          </w:p>
        </w:tc>
        <w:tc>
          <w:tcPr>
            <w:tcW w:w="990" w:type="dxa"/>
          </w:tcPr>
          <w:p w14:paraId="76A920DF" w14:textId="77777777" w:rsidR="00E10DF9" w:rsidRPr="001F2B93" w:rsidRDefault="00E10DF9" w:rsidP="001F2B93">
            <w:pPr>
              <w:jc w:val="both"/>
              <w:rPr>
                <w:rFonts w:ascii="Arial" w:hAnsi="Arial" w:cs="Arial"/>
                <w:sz w:val="16"/>
                <w:szCs w:val="16"/>
              </w:rPr>
            </w:pPr>
            <w:r w:rsidRPr="001F2B93">
              <w:rPr>
                <w:rFonts w:ascii="Arial" w:hAnsi="Arial" w:cs="Arial"/>
                <w:sz w:val="16"/>
                <w:szCs w:val="16"/>
              </w:rPr>
              <w:t>N</w:t>
            </w:r>
            <w:r w:rsidRPr="001F2B93">
              <w:rPr>
                <w:rFonts w:ascii="Arial" w:hAnsi="Arial"/>
                <w:sz w:val="16"/>
                <w:szCs w:val="16"/>
              </w:rPr>
              <w:t>O</w:t>
            </w:r>
          </w:p>
        </w:tc>
        <w:tc>
          <w:tcPr>
            <w:tcW w:w="530" w:type="dxa"/>
          </w:tcPr>
          <w:p w14:paraId="515F0F7C" w14:textId="409749D6" w:rsidR="00E10DF9" w:rsidRPr="001F2B93" w:rsidRDefault="00E10DF9" w:rsidP="001F2B93">
            <w:pPr>
              <w:jc w:val="both"/>
              <w:rPr>
                <w:rFonts w:ascii="Arial" w:hAnsi="Arial" w:cs="Arial"/>
                <w:sz w:val="16"/>
                <w:szCs w:val="16"/>
              </w:rPr>
            </w:pPr>
            <w:r>
              <w:rPr>
                <w:rFonts w:ascii="Arial" w:hAnsi="Arial" w:cs="Arial"/>
                <w:sz w:val="16"/>
                <w:szCs w:val="16"/>
              </w:rPr>
              <w:t>NO</w:t>
            </w:r>
          </w:p>
        </w:tc>
        <w:tc>
          <w:tcPr>
            <w:tcW w:w="574" w:type="dxa"/>
          </w:tcPr>
          <w:p w14:paraId="46E1E748" w14:textId="02F5A1F6" w:rsidR="00E10DF9" w:rsidRPr="001F2B93" w:rsidRDefault="00E10DF9" w:rsidP="001F2B93">
            <w:pPr>
              <w:jc w:val="both"/>
              <w:rPr>
                <w:rFonts w:ascii="Arial" w:hAnsi="Arial" w:cs="Arial"/>
                <w:sz w:val="16"/>
                <w:szCs w:val="16"/>
              </w:rPr>
            </w:pPr>
            <w:r>
              <w:rPr>
                <w:rFonts w:ascii="Arial" w:hAnsi="Arial" w:cs="Arial"/>
                <w:sz w:val="16"/>
                <w:szCs w:val="16"/>
              </w:rPr>
              <w:t>NO</w:t>
            </w:r>
          </w:p>
        </w:tc>
      </w:tr>
      <w:tr w:rsidR="00E10DF9" w:rsidRPr="001F2B93" w14:paraId="024E115D" w14:textId="77777777" w:rsidTr="00DC17E3">
        <w:trPr>
          <w:jc w:val="center"/>
        </w:trPr>
        <w:tc>
          <w:tcPr>
            <w:tcW w:w="394" w:type="dxa"/>
          </w:tcPr>
          <w:p w14:paraId="4389F92C" w14:textId="758F0595" w:rsidR="00E10DF9" w:rsidRPr="001F2B93" w:rsidRDefault="00E10DF9" w:rsidP="00E10DF9">
            <w:pPr>
              <w:jc w:val="both"/>
              <w:rPr>
                <w:rFonts w:ascii="Arial" w:hAnsi="Arial" w:cs="Arial"/>
                <w:sz w:val="16"/>
                <w:szCs w:val="16"/>
              </w:rPr>
            </w:pPr>
            <w:r>
              <w:rPr>
                <w:rFonts w:ascii="Arial" w:hAnsi="Arial" w:cs="Arial"/>
                <w:sz w:val="16"/>
                <w:szCs w:val="16"/>
              </w:rPr>
              <w:t>26</w:t>
            </w:r>
          </w:p>
        </w:tc>
        <w:tc>
          <w:tcPr>
            <w:tcW w:w="2164" w:type="dxa"/>
          </w:tcPr>
          <w:p w14:paraId="3C1E473C" w14:textId="0C087920" w:rsidR="00E10DF9" w:rsidRPr="00E10DF9" w:rsidRDefault="00E10DF9" w:rsidP="00E10DF9">
            <w:pPr>
              <w:jc w:val="both"/>
              <w:rPr>
                <w:rFonts w:ascii="Arial" w:hAnsi="Arial" w:cs="Arial"/>
                <w:sz w:val="16"/>
                <w:szCs w:val="16"/>
              </w:rPr>
            </w:pPr>
            <w:proofErr w:type="spellStart"/>
            <w:proofErr w:type="gramStart"/>
            <w:r w:rsidRPr="00E10DF9">
              <w:rPr>
                <w:rFonts w:ascii="Arial" w:hAnsi="Arial" w:cs="Arial"/>
                <w:color w:val="000000"/>
                <w:kern w:val="24"/>
                <w:sz w:val="16"/>
                <w:szCs w:val="16"/>
              </w:rPr>
              <w:t>Esabromociclododecano</w:t>
            </w:r>
            <w:proofErr w:type="spellEnd"/>
            <w:r w:rsidRPr="00E10DF9">
              <w:rPr>
                <w:rFonts w:ascii="Arial" w:hAnsi="Arial" w:cs="Arial"/>
                <w:color w:val="000000"/>
                <w:kern w:val="24"/>
                <w:sz w:val="16"/>
                <w:szCs w:val="16"/>
              </w:rPr>
              <w:t>(</w:t>
            </w:r>
            <w:proofErr w:type="gramEnd"/>
            <w:r w:rsidRPr="00E10DF9">
              <w:rPr>
                <w:rFonts w:ascii="Arial" w:hAnsi="Arial" w:cs="Arial"/>
                <w:color w:val="000000"/>
                <w:kern w:val="24"/>
                <w:sz w:val="16"/>
                <w:szCs w:val="16"/>
              </w:rPr>
              <w:t>4)</w:t>
            </w:r>
          </w:p>
        </w:tc>
        <w:tc>
          <w:tcPr>
            <w:tcW w:w="804" w:type="dxa"/>
          </w:tcPr>
          <w:p w14:paraId="709F8BA1" w14:textId="05E8681C" w:rsidR="00E10DF9" w:rsidRPr="00E10DF9" w:rsidRDefault="00E10DF9" w:rsidP="00E10DF9">
            <w:pPr>
              <w:jc w:val="both"/>
              <w:rPr>
                <w:rFonts w:ascii="Arial" w:hAnsi="Arial" w:cs="Arial"/>
                <w:sz w:val="16"/>
                <w:szCs w:val="16"/>
              </w:rPr>
            </w:pPr>
            <w:r w:rsidRPr="00E10DF9">
              <w:rPr>
                <w:rFonts w:ascii="Arial" w:hAnsi="Arial" w:cs="Arial"/>
                <w:color w:val="000000"/>
                <w:kern w:val="24"/>
                <w:sz w:val="16"/>
                <w:szCs w:val="16"/>
                <w:lang w:eastAsia="it-IT"/>
              </w:rPr>
              <w:t>25637-99-4 3194-55-6, 134237-50-6 134237-51-7 134237-52-8</w:t>
            </w:r>
          </w:p>
        </w:tc>
        <w:tc>
          <w:tcPr>
            <w:tcW w:w="617" w:type="dxa"/>
          </w:tcPr>
          <w:p w14:paraId="33BCA097" w14:textId="43AADDEA" w:rsidR="00E10DF9" w:rsidRPr="00E10DF9" w:rsidRDefault="00E10DF9" w:rsidP="00E10DF9">
            <w:pPr>
              <w:jc w:val="both"/>
              <w:rPr>
                <w:rFonts w:ascii="Arial" w:hAnsi="Arial" w:cs="Arial"/>
                <w:sz w:val="16"/>
                <w:szCs w:val="16"/>
              </w:rPr>
            </w:pPr>
            <w:r w:rsidRPr="00E10DF9">
              <w:rPr>
                <w:rFonts w:ascii="Arial" w:hAnsi="Arial" w:cs="Arial"/>
                <w:color w:val="000000"/>
                <w:kern w:val="24"/>
                <w:sz w:val="16"/>
                <w:szCs w:val="16"/>
                <w:lang w:eastAsia="it-IT"/>
              </w:rPr>
              <w:t>247-148-4 221-695-9</w:t>
            </w:r>
          </w:p>
        </w:tc>
        <w:tc>
          <w:tcPr>
            <w:tcW w:w="1898" w:type="dxa"/>
          </w:tcPr>
          <w:p w14:paraId="2D1C8DB8" w14:textId="77777777" w:rsidR="00E10DF9" w:rsidRPr="00E10DF9" w:rsidRDefault="00E10DF9" w:rsidP="00E10DF9">
            <w:pPr>
              <w:jc w:val="both"/>
              <w:rPr>
                <w:rFonts w:ascii="Arial" w:hAnsi="Arial" w:cs="Arial"/>
                <w:sz w:val="16"/>
                <w:szCs w:val="16"/>
              </w:rPr>
            </w:pPr>
            <w:r w:rsidRPr="00E10DF9">
              <w:rPr>
                <w:rFonts w:ascii="Arial" w:hAnsi="Arial" w:cs="Arial"/>
                <w:sz w:val="16"/>
                <w:szCs w:val="16"/>
              </w:rPr>
              <w:t>500 mg/kg</w:t>
            </w:r>
          </w:p>
          <w:p w14:paraId="6669997E" w14:textId="3B75A250" w:rsidR="00E10DF9" w:rsidRPr="00E10DF9" w:rsidRDefault="00E10DF9" w:rsidP="00E10DF9">
            <w:pPr>
              <w:jc w:val="both"/>
              <w:rPr>
                <w:rFonts w:ascii="Arial" w:hAnsi="Arial" w:cs="Arial"/>
                <w:sz w:val="16"/>
                <w:szCs w:val="16"/>
              </w:rPr>
            </w:pPr>
            <w:r w:rsidRPr="00E10DF9">
              <w:rPr>
                <w:rFonts w:ascii="Arial" w:hAnsi="Arial" w:cs="Arial"/>
                <w:sz w:val="16"/>
                <w:szCs w:val="16"/>
              </w:rPr>
              <w:t>La Commissione rivede tale limite di concentrazione e, se del caso, adotta una proposta legislativa per abbassarlo a un valore non superiore a 200 mg/kg entro il 30 dicembre 2027</w:t>
            </w:r>
          </w:p>
        </w:tc>
        <w:tc>
          <w:tcPr>
            <w:tcW w:w="1951" w:type="dxa"/>
          </w:tcPr>
          <w:p w14:paraId="7C327267" w14:textId="77777777" w:rsidR="00E10DF9" w:rsidRPr="001F2B93" w:rsidRDefault="00E10DF9" w:rsidP="00E10DF9">
            <w:pPr>
              <w:jc w:val="both"/>
              <w:rPr>
                <w:rFonts w:ascii="Arial" w:hAnsi="Arial" w:cs="Arial"/>
                <w:sz w:val="16"/>
                <w:szCs w:val="16"/>
              </w:rPr>
            </w:pPr>
            <w:r w:rsidRPr="001F2B93">
              <w:rPr>
                <w:rFonts w:ascii="Arial" w:hAnsi="Arial" w:cs="Arial"/>
                <w:sz w:val="16"/>
                <w:szCs w:val="16"/>
              </w:rPr>
              <w:t>Ritardante di fiamma</w:t>
            </w:r>
          </w:p>
        </w:tc>
        <w:tc>
          <w:tcPr>
            <w:tcW w:w="919" w:type="dxa"/>
          </w:tcPr>
          <w:p w14:paraId="365BCE62" w14:textId="219A7BA3" w:rsidR="00E10DF9" w:rsidRPr="001F2B93" w:rsidRDefault="00E10DF9" w:rsidP="00E10DF9">
            <w:pPr>
              <w:jc w:val="both"/>
              <w:rPr>
                <w:rFonts w:ascii="Arial" w:hAnsi="Arial" w:cs="Arial"/>
                <w:sz w:val="16"/>
                <w:szCs w:val="16"/>
              </w:rPr>
            </w:pPr>
          </w:p>
        </w:tc>
        <w:tc>
          <w:tcPr>
            <w:tcW w:w="990" w:type="dxa"/>
          </w:tcPr>
          <w:p w14:paraId="7B094DE7" w14:textId="77777777" w:rsidR="00E10DF9" w:rsidRPr="001F2B93" w:rsidRDefault="00E10DF9" w:rsidP="00E10DF9">
            <w:pPr>
              <w:jc w:val="both"/>
              <w:rPr>
                <w:rFonts w:ascii="Arial" w:hAnsi="Arial" w:cs="Arial"/>
                <w:sz w:val="16"/>
                <w:szCs w:val="16"/>
              </w:rPr>
            </w:pPr>
            <w:r w:rsidRPr="001F2B93">
              <w:rPr>
                <w:rFonts w:ascii="Arial" w:hAnsi="Arial" w:cs="Arial"/>
                <w:sz w:val="16"/>
                <w:szCs w:val="16"/>
              </w:rPr>
              <w:t>S</w:t>
            </w:r>
            <w:r w:rsidRPr="001F2B93">
              <w:rPr>
                <w:rFonts w:ascii="Arial" w:hAnsi="Arial"/>
                <w:sz w:val="16"/>
                <w:szCs w:val="16"/>
              </w:rPr>
              <w:t>I (2008)</w:t>
            </w:r>
          </w:p>
        </w:tc>
        <w:tc>
          <w:tcPr>
            <w:tcW w:w="530" w:type="dxa"/>
          </w:tcPr>
          <w:p w14:paraId="2EFEA1FC" w14:textId="19F09917" w:rsidR="00E10DF9" w:rsidRPr="001F2B93" w:rsidRDefault="00E10DF9" w:rsidP="00E10DF9">
            <w:pPr>
              <w:jc w:val="both"/>
              <w:rPr>
                <w:rFonts w:ascii="Arial" w:hAnsi="Arial" w:cs="Arial"/>
                <w:sz w:val="16"/>
                <w:szCs w:val="16"/>
              </w:rPr>
            </w:pPr>
            <w:r>
              <w:rPr>
                <w:rFonts w:ascii="Arial" w:hAnsi="Arial" w:cs="Arial"/>
                <w:sz w:val="16"/>
                <w:szCs w:val="16"/>
              </w:rPr>
              <w:t>SI</w:t>
            </w:r>
          </w:p>
        </w:tc>
        <w:tc>
          <w:tcPr>
            <w:tcW w:w="574" w:type="dxa"/>
          </w:tcPr>
          <w:p w14:paraId="79991F2E" w14:textId="7B654F0C" w:rsidR="00E10DF9" w:rsidRPr="001F2B93" w:rsidRDefault="00E10DF9" w:rsidP="00E10DF9">
            <w:pPr>
              <w:jc w:val="both"/>
              <w:rPr>
                <w:rFonts w:ascii="Arial" w:hAnsi="Arial" w:cs="Arial"/>
                <w:sz w:val="16"/>
                <w:szCs w:val="16"/>
              </w:rPr>
            </w:pPr>
            <w:r>
              <w:rPr>
                <w:rFonts w:ascii="Arial" w:hAnsi="Arial" w:cs="Arial"/>
                <w:sz w:val="16"/>
                <w:szCs w:val="16"/>
              </w:rPr>
              <w:t>NO</w:t>
            </w:r>
          </w:p>
        </w:tc>
      </w:tr>
      <w:tr w:rsidR="00DC17E3" w:rsidRPr="001F2B93" w14:paraId="5E40966B" w14:textId="77777777" w:rsidTr="00DC17E3">
        <w:trPr>
          <w:jc w:val="center"/>
        </w:trPr>
        <w:tc>
          <w:tcPr>
            <w:tcW w:w="394" w:type="dxa"/>
            <w:shd w:val="clear" w:color="auto" w:fill="FFE599" w:themeFill="accent4" w:themeFillTint="66"/>
          </w:tcPr>
          <w:p w14:paraId="3AC95C80" w14:textId="6273B5A6"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lang w:eastAsia="it-IT"/>
              </w:rPr>
              <w:t>27</w:t>
            </w:r>
          </w:p>
        </w:tc>
        <w:tc>
          <w:tcPr>
            <w:tcW w:w="2164" w:type="dxa"/>
            <w:shd w:val="clear" w:color="auto" w:fill="FFE599" w:themeFill="accent4" w:themeFillTint="66"/>
          </w:tcPr>
          <w:p w14:paraId="59EE68E0" w14:textId="0C0C84D0"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Pentaclorofenolo, suoi sali ed esteri</w:t>
            </w:r>
          </w:p>
        </w:tc>
        <w:tc>
          <w:tcPr>
            <w:tcW w:w="804" w:type="dxa"/>
            <w:shd w:val="clear" w:color="auto" w:fill="FFE599" w:themeFill="accent4" w:themeFillTint="66"/>
          </w:tcPr>
          <w:p w14:paraId="2A3A3311" w14:textId="574FDB6E"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lang w:eastAsia="it-IT"/>
              </w:rPr>
              <w:t>87-86-5 e altri</w:t>
            </w:r>
          </w:p>
        </w:tc>
        <w:tc>
          <w:tcPr>
            <w:tcW w:w="617" w:type="dxa"/>
            <w:shd w:val="clear" w:color="auto" w:fill="FFE599" w:themeFill="accent4" w:themeFillTint="66"/>
          </w:tcPr>
          <w:p w14:paraId="15C5D6EA" w14:textId="2DA1E9D2"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lang w:eastAsia="it-IT"/>
              </w:rPr>
              <w:t>201-778-6 e altri</w:t>
            </w:r>
          </w:p>
        </w:tc>
        <w:tc>
          <w:tcPr>
            <w:tcW w:w="1898" w:type="dxa"/>
            <w:shd w:val="clear" w:color="auto" w:fill="FFE599" w:themeFill="accent4" w:themeFillTint="66"/>
          </w:tcPr>
          <w:p w14:paraId="61D28A46" w14:textId="3793F57B"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100 mg/kg</w:t>
            </w:r>
          </w:p>
        </w:tc>
        <w:tc>
          <w:tcPr>
            <w:tcW w:w="1951" w:type="dxa"/>
            <w:shd w:val="clear" w:color="auto" w:fill="FFE599" w:themeFill="accent4" w:themeFillTint="66"/>
          </w:tcPr>
          <w:p w14:paraId="650F9344" w14:textId="423D4181"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 xml:space="preserve">Pesticida </w:t>
            </w:r>
          </w:p>
        </w:tc>
        <w:tc>
          <w:tcPr>
            <w:tcW w:w="919" w:type="dxa"/>
            <w:shd w:val="clear" w:color="auto" w:fill="FFE599" w:themeFill="accent4" w:themeFillTint="66"/>
          </w:tcPr>
          <w:p w14:paraId="219190DD" w14:textId="020B1FCB"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NO</w:t>
            </w:r>
          </w:p>
        </w:tc>
        <w:tc>
          <w:tcPr>
            <w:tcW w:w="990" w:type="dxa"/>
            <w:shd w:val="clear" w:color="auto" w:fill="FFE599" w:themeFill="accent4" w:themeFillTint="66"/>
          </w:tcPr>
          <w:p w14:paraId="686F3D1C" w14:textId="7FCF5E8C"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NO</w:t>
            </w:r>
          </w:p>
        </w:tc>
        <w:tc>
          <w:tcPr>
            <w:tcW w:w="530" w:type="dxa"/>
            <w:shd w:val="clear" w:color="auto" w:fill="FFE599" w:themeFill="accent4" w:themeFillTint="66"/>
          </w:tcPr>
          <w:p w14:paraId="0E883850" w14:textId="516B1CB8"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NO</w:t>
            </w:r>
          </w:p>
        </w:tc>
        <w:tc>
          <w:tcPr>
            <w:tcW w:w="574" w:type="dxa"/>
            <w:shd w:val="clear" w:color="auto" w:fill="FFE599" w:themeFill="accent4" w:themeFillTint="66"/>
          </w:tcPr>
          <w:p w14:paraId="1AE50013" w14:textId="153992FE" w:rsidR="00DC17E3" w:rsidRPr="00DC17E3" w:rsidRDefault="00DC17E3" w:rsidP="00DC17E3">
            <w:pPr>
              <w:jc w:val="both"/>
              <w:rPr>
                <w:rFonts w:ascii="Arial" w:hAnsi="Arial" w:cs="Arial"/>
                <w:sz w:val="16"/>
                <w:szCs w:val="16"/>
              </w:rPr>
            </w:pPr>
            <w:r w:rsidRPr="00DC17E3">
              <w:rPr>
                <w:rFonts w:ascii="Arial" w:hAnsi="Arial" w:cs="Arial"/>
                <w:color w:val="000000"/>
                <w:kern w:val="24"/>
                <w:sz w:val="16"/>
                <w:szCs w:val="16"/>
              </w:rPr>
              <w:t>NO</w:t>
            </w:r>
          </w:p>
        </w:tc>
      </w:tr>
      <w:tr w:rsidR="00DC17E3" w:rsidRPr="001F2B93" w14:paraId="7A246EF6" w14:textId="77777777" w:rsidTr="00DC17E3">
        <w:trPr>
          <w:jc w:val="center"/>
        </w:trPr>
        <w:tc>
          <w:tcPr>
            <w:tcW w:w="394" w:type="dxa"/>
            <w:shd w:val="clear" w:color="auto" w:fill="FFE599" w:themeFill="accent4" w:themeFillTint="66"/>
          </w:tcPr>
          <w:p w14:paraId="264F218B" w14:textId="555984DE" w:rsidR="00DC17E3" w:rsidRDefault="00DC17E3" w:rsidP="00DC17E3">
            <w:pPr>
              <w:jc w:val="both"/>
              <w:rPr>
                <w:rFonts w:ascii="Arial" w:hAnsi="Arial" w:cs="Arial"/>
                <w:sz w:val="16"/>
                <w:szCs w:val="16"/>
              </w:rPr>
            </w:pPr>
            <w:r>
              <w:rPr>
                <w:rFonts w:ascii="Arial" w:hAnsi="Arial" w:cs="Arial"/>
                <w:sz w:val="16"/>
                <w:szCs w:val="16"/>
              </w:rPr>
              <w:t>28</w:t>
            </w:r>
          </w:p>
        </w:tc>
        <w:tc>
          <w:tcPr>
            <w:tcW w:w="2164" w:type="dxa"/>
            <w:shd w:val="clear" w:color="auto" w:fill="FFE599" w:themeFill="accent4" w:themeFillTint="66"/>
          </w:tcPr>
          <w:p w14:paraId="44C69947" w14:textId="22E3D72D" w:rsidR="00DC17E3" w:rsidRPr="00627260" w:rsidRDefault="00DC17E3" w:rsidP="00DC17E3">
            <w:pPr>
              <w:jc w:val="both"/>
              <w:rPr>
                <w:rFonts w:ascii="Arial" w:hAnsi="Arial" w:cs="Arial"/>
                <w:sz w:val="16"/>
                <w:szCs w:val="16"/>
              </w:rPr>
            </w:pPr>
            <w:proofErr w:type="spellStart"/>
            <w:r w:rsidRPr="00627260">
              <w:rPr>
                <w:rFonts w:ascii="Arial" w:hAnsi="Arial" w:cs="Arial"/>
                <w:color w:val="000000"/>
                <w:kern w:val="24"/>
                <w:sz w:val="16"/>
                <w:szCs w:val="16"/>
              </w:rPr>
              <w:t>Dicofol</w:t>
            </w:r>
            <w:proofErr w:type="spellEnd"/>
          </w:p>
        </w:tc>
        <w:tc>
          <w:tcPr>
            <w:tcW w:w="804" w:type="dxa"/>
            <w:shd w:val="clear" w:color="auto" w:fill="FFE599" w:themeFill="accent4" w:themeFillTint="66"/>
          </w:tcPr>
          <w:p w14:paraId="11F31316" w14:textId="19C2B117"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115-32-2</w:t>
            </w:r>
          </w:p>
        </w:tc>
        <w:tc>
          <w:tcPr>
            <w:tcW w:w="617" w:type="dxa"/>
            <w:shd w:val="clear" w:color="auto" w:fill="FFE599" w:themeFill="accent4" w:themeFillTint="66"/>
          </w:tcPr>
          <w:p w14:paraId="352FE1C0" w14:textId="5D108DBB"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204-082-0</w:t>
            </w:r>
          </w:p>
        </w:tc>
        <w:tc>
          <w:tcPr>
            <w:tcW w:w="1898" w:type="dxa"/>
            <w:shd w:val="clear" w:color="auto" w:fill="FFE599" w:themeFill="accent4" w:themeFillTint="66"/>
          </w:tcPr>
          <w:p w14:paraId="08F4436B" w14:textId="5F1A189F"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50 mg/kg</w:t>
            </w:r>
          </w:p>
        </w:tc>
        <w:tc>
          <w:tcPr>
            <w:tcW w:w="1951" w:type="dxa"/>
            <w:shd w:val="clear" w:color="auto" w:fill="FFE599" w:themeFill="accent4" w:themeFillTint="66"/>
          </w:tcPr>
          <w:p w14:paraId="1DCB09FC" w14:textId="072F75DD"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Acaricida</w:t>
            </w:r>
          </w:p>
        </w:tc>
        <w:tc>
          <w:tcPr>
            <w:tcW w:w="919" w:type="dxa"/>
            <w:shd w:val="clear" w:color="auto" w:fill="FFE599" w:themeFill="accent4" w:themeFillTint="66"/>
          </w:tcPr>
          <w:p w14:paraId="114ABF2C" w14:textId="50697E74"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990" w:type="dxa"/>
            <w:shd w:val="clear" w:color="auto" w:fill="FFE599" w:themeFill="accent4" w:themeFillTint="66"/>
          </w:tcPr>
          <w:p w14:paraId="7B94BE6B" w14:textId="7A251B9A"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30" w:type="dxa"/>
            <w:shd w:val="clear" w:color="auto" w:fill="FFE599" w:themeFill="accent4" w:themeFillTint="66"/>
          </w:tcPr>
          <w:p w14:paraId="1459FAFF" w14:textId="7CA0DF9F"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74" w:type="dxa"/>
            <w:shd w:val="clear" w:color="auto" w:fill="FFE599" w:themeFill="accent4" w:themeFillTint="66"/>
          </w:tcPr>
          <w:p w14:paraId="5AFEC04F" w14:textId="42AFE08E"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r>
      <w:tr w:rsidR="00DC17E3" w:rsidRPr="001F2B93" w14:paraId="242DA48E" w14:textId="77777777" w:rsidTr="00DC17E3">
        <w:trPr>
          <w:jc w:val="center"/>
        </w:trPr>
        <w:tc>
          <w:tcPr>
            <w:tcW w:w="394" w:type="dxa"/>
            <w:shd w:val="clear" w:color="auto" w:fill="FFE599" w:themeFill="accent4" w:themeFillTint="66"/>
          </w:tcPr>
          <w:p w14:paraId="55B3961C" w14:textId="6C6F7048" w:rsidR="00DC17E3" w:rsidRDefault="00DC17E3" w:rsidP="00DC17E3">
            <w:pPr>
              <w:jc w:val="both"/>
              <w:rPr>
                <w:rFonts w:ascii="Arial" w:hAnsi="Arial" w:cs="Arial"/>
                <w:sz w:val="16"/>
                <w:szCs w:val="16"/>
              </w:rPr>
            </w:pPr>
            <w:r>
              <w:rPr>
                <w:rFonts w:ascii="Arial" w:hAnsi="Arial" w:cs="Arial"/>
                <w:sz w:val="16"/>
                <w:szCs w:val="16"/>
              </w:rPr>
              <w:t>29</w:t>
            </w:r>
          </w:p>
        </w:tc>
        <w:tc>
          <w:tcPr>
            <w:tcW w:w="2164" w:type="dxa"/>
            <w:shd w:val="clear" w:color="auto" w:fill="FFE599" w:themeFill="accent4" w:themeFillTint="66"/>
          </w:tcPr>
          <w:p w14:paraId="65928404" w14:textId="49883F1E"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 xml:space="preserve">Acido </w:t>
            </w:r>
            <w:proofErr w:type="spellStart"/>
            <w:r w:rsidRPr="00627260">
              <w:rPr>
                <w:rFonts w:ascii="Arial" w:hAnsi="Arial" w:cs="Arial"/>
                <w:color w:val="000000"/>
                <w:kern w:val="24"/>
                <w:sz w:val="16"/>
                <w:szCs w:val="16"/>
              </w:rPr>
              <w:t>perfluoroottanoico</w:t>
            </w:r>
            <w:proofErr w:type="spellEnd"/>
            <w:r w:rsidRPr="00627260">
              <w:rPr>
                <w:rFonts w:ascii="Arial" w:hAnsi="Arial" w:cs="Arial"/>
                <w:color w:val="000000"/>
                <w:kern w:val="24"/>
                <w:sz w:val="16"/>
                <w:szCs w:val="16"/>
              </w:rPr>
              <w:t xml:space="preserve"> (PFOA), suoi sali e composti a esso correlati di cui all’allegato I</w:t>
            </w:r>
          </w:p>
        </w:tc>
        <w:tc>
          <w:tcPr>
            <w:tcW w:w="804" w:type="dxa"/>
            <w:shd w:val="clear" w:color="auto" w:fill="FFE599" w:themeFill="accent4" w:themeFillTint="66"/>
          </w:tcPr>
          <w:p w14:paraId="40DF711C" w14:textId="0AEA4389"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335-67-1 e altri</w:t>
            </w:r>
          </w:p>
        </w:tc>
        <w:tc>
          <w:tcPr>
            <w:tcW w:w="617" w:type="dxa"/>
            <w:shd w:val="clear" w:color="auto" w:fill="FFE599" w:themeFill="accent4" w:themeFillTint="66"/>
          </w:tcPr>
          <w:p w14:paraId="570308FA" w14:textId="582D85E2"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206-397-9 e altri</w:t>
            </w:r>
          </w:p>
        </w:tc>
        <w:tc>
          <w:tcPr>
            <w:tcW w:w="1898" w:type="dxa"/>
            <w:shd w:val="clear" w:color="auto" w:fill="FFE599" w:themeFill="accent4" w:themeFillTint="66"/>
          </w:tcPr>
          <w:p w14:paraId="657601E5"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mg/kg</w:t>
            </w:r>
          </w:p>
          <w:p w14:paraId="7B33A360"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(PFOA e suoi sali),</w:t>
            </w:r>
          </w:p>
          <w:p w14:paraId="070F9D61"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40 mg/kg</w:t>
            </w:r>
          </w:p>
          <w:p w14:paraId="7D153D52"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(somma dei composti correlati al PFOA).</w:t>
            </w:r>
          </w:p>
          <w:p w14:paraId="2A7C3570" w14:textId="32DE5DA3"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La Commissione rivede tale limite di concentrazione e, se del caso, adotta una proposta legislativa per abbassare tale valore, ove ciò sia possibile in linea con il progresso scientifico e tecnico, entro il 30 dicembre 2027.</w:t>
            </w:r>
          </w:p>
        </w:tc>
        <w:tc>
          <w:tcPr>
            <w:tcW w:w="1951" w:type="dxa"/>
            <w:shd w:val="clear" w:color="auto" w:fill="FFE599" w:themeFill="accent4" w:themeFillTint="66"/>
          </w:tcPr>
          <w:p w14:paraId="17BB10F5" w14:textId="77777777" w:rsidR="00DC17E3" w:rsidRPr="00627260" w:rsidRDefault="00DC17E3" w:rsidP="00DC17E3">
            <w:pPr>
              <w:spacing w:line="256" w:lineRule="auto"/>
              <w:rPr>
                <w:rFonts w:ascii="Arial" w:hAnsi="Arial" w:cs="Arial"/>
                <w:color w:val="000000"/>
                <w:kern w:val="24"/>
                <w:sz w:val="16"/>
                <w:szCs w:val="16"/>
              </w:rPr>
            </w:pPr>
            <w:r w:rsidRPr="00627260">
              <w:rPr>
                <w:rFonts w:ascii="Arial" w:hAnsi="Arial" w:cs="Arial"/>
                <w:color w:val="000000"/>
                <w:kern w:val="24"/>
                <w:sz w:val="16"/>
                <w:szCs w:val="16"/>
              </w:rPr>
              <w:t>Tensioattivo</w:t>
            </w:r>
          </w:p>
          <w:p w14:paraId="7E863934" w14:textId="77777777" w:rsidR="00DC17E3" w:rsidRPr="00627260" w:rsidRDefault="00DC17E3" w:rsidP="00DC17E3">
            <w:pPr>
              <w:spacing w:line="256" w:lineRule="auto"/>
              <w:rPr>
                <w:rFonts w:ascii="Arial" w:hAnsi="Arial" w:cs="Arial"/>
                <w:color w:val="000000"/>
                <w:kern w:val="24"/>
                <w:sz w:val="16"/>
                <w:szCs w:val="16"/>
              </w:rPr>
            </w:pPr>
            <w:r w:rsidRPr="00627260">
              <w:rPr>
                <w:rFonts w:ascii="Arial" w:hAnsi="Arial" w:cs="Arial"/>
                <w:color w:val="000000"/>
                <w:kern w:val="24"/>
                <w:sz w:val="16"/>
                <w:szCs w:val="16"/>
              </w:rPr>
              <w:t>Impermeabilizzante</w:t>
            </w:r>
          </w:p>
          <w:p w14:paraId="7A1AE2A0" w14:textId="7E4D748D"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Intermedio di polimerizzazione</w:t>
            </w:r>
          </w:p>
        </w:tc>
        <w:tc>
          <w:tcPr>
            <w:tcW w:w="919" w:type="dxa"/>
            <w:shd w:val="clear" w:color="auto" w:fill="FFE599" w:themeFill="accent4" w:themeFillTint="66"/>
          </w:tcPr>
          <w:p w14:paraId="74750544" w14:textId="1625AC52"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SI (2013)</w:t>
            </w:r>
          </w:p>
        </w:tc>
        <w:tc>
          <w:tcPr>
            <w:tcW w:w="990" w:type="dxa"/>
            <w:shd w:val="clear" w:color="auto" w:fill="FFE599" w:themeFill="accent4" w:themeFillTint="66"/>
          </w:tcPr>
          <w:p w14:paraId="4857E655" w14:textId="3E507F7C"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30" w:type="dxa"/>
            <w:shd w:val="clear" w:color="auto" w:fill="FFE599" w:themeFill="accent4" w:themeFillTint="66"/>
          </w:tcPr>
          <w:p w14:paraId="6F2C229E" w14:textId="31378CA4"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74" w:type="dxa"/>
            <w:shd w:val="clear" w:color="auto" w:fill="FFE599" w:themeFill="accent4" w:themeFillTint="66"/>
          </w:tcPr>
          <w:p w14:paraId="0B38FC24" w14:textId="3B1B4C31"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r>
      <w:tr w:rsidR="00DC17E3" w:rsidRPr="001F2B93" w14:paraId="401E563B" w14:textId="77777777" w:rsidTr="00DC17E3">
        <w:trPr>
          <w:jc w:val="center"/>
        </w:trPr>
        <w:tc>
          <w:tcPr>
            <w:tcW w:w="394" w:type="dxa"/>
            <w:shd w:val="clear" w:color="auto" w:fill="FFE599" w:themeFill="accent4" w:themeFillTint="66"/>
          </w:tcPr>
          <w:p w14:paraId="060EAD43" w14:textId="728B3CF2" w:rsidR="00DC17E3" w:rsidRDefault="00DC17E3" w:rsidP="00DC17E3">
            <w:pPr>
              <w:jc w:val="both"/>
              <w:rPr>
                <w:rFonts w:ascii="Arial" w:hAnsi="Arial" w:cs="Arial"/>
                <w:sz w:val="16"/>
                <w:szCs w:val="16"/>
              </w:rPr>
            </w:pPr>
            <w:r>
              <w:rPr>
                <w:rFonts w:ascii="Arial" w:hAnsi="Arial" w:cs="Arial"/>
                <w:sz w:val="16"/>
                <w:szCs w:val="16"/>
              </w:rPr>
              <w:t>30</w:t>
            </w:r>
          </w:p>
        </w:tc>
        <w:tc>
          <w:tcPr>
            <w:tcW w:w="2164" w:type="dxa"/>
            <w:shd w:val="clear" w:color="auto" w:fill="FFE599" w:themeFill="accent4" w:themeFillTint="66"/>
          </w:tcPr>
          <w:p w14:paraId="7C19965D" w14:textId="4DF3628A"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 xml:space="preserve">Acido </w:t>
            </w:r>
            <w:proofErr w:type="spellStart"/>
            <w:r w:rsidRPr="00627260">
              <w:rPr>
                <w:rFonts w:ascii="Arial" w:hAnsi="Arial" w:cs="Arial"/>
                <w:color w:val="000000"/>
                <w:kern w:val="24"/>
                <w:sz w:val="16"/>
                <w:szCs w:val="16"/>
              </w:rPr>
              <w:t>perfluoroesano</w:t>
            </w:r>
            <w:proofErr w:type="spellEnd"/>
            <w:r w:rsidRPr="00627260">
              <w:rPr>
                <w:rFonts w:ascii="Arial" w:hAnsi="Arial" w:cs="Arial"/>
                <w:color w:val="000000"/>
                <w:kern w:val="24"/>
                <w:sz w:val="16"/>
                <w:szCs w:val="16"/>
              </w:rPr>
              <w:t xml:space="preserve"> </w:t>
            </w:r>
            <w:proofErr w:type="spellStart"/>
            <w:r w:rsidRPr="00627260">
              <w:rPr>
                <w:rFonts w:ascii="Arial" w:hAnsi="Arial" w:cs="Arial"/>
                <w:color w:val="000000"/>
                <w:kern w:val="24"/>
                <w:sz w:val="16"/>
                <w:szCs w:val="16"/>
              </w:rPr>
              <w:t>sulfonico</w:t>
            </w:r>
            <w:proofErr w:type="spellEnd"/>
            <w:r w:rsidRPr="00627260">
              <w:rPr>
                <w:rFonts w:ascii="Arial" w:hAnsi="Arial" w:cs="Arial"/>
                <w:color w:val="000000"/>
                <w:kern w:val="24"/>
                <w:sz w:val="16"/>
                <w:szCs w:val="16"/>
              </w:rPr>
              <w:t xml:space="preserve"> (</w:t>
            </w:r>
            <w:proofErr w:type="spellStart"/>
            <w:r w:rsidRPr="00627260">
              <w:rPr>
                <w:rFonts w:ascii="Arial" w:hAnsi="Arial" w:cs="Arial"/>
                <w:color w:val="000000"/>
                <w:kern w:val="24"/>
                <w:sz w:val="16"/>
                <w:szCs w:val="16"/>
              </w:rPr>
              <w:t>PFHxS</w:t>
            </w:r>
            <w:proofErr w:type="spellEnd"/>
            <w:r w:rsidRPr="00627260">
              <w:rPr>
                <w:rFonts w:ascii="Arial" w:hAnsi="Arial" w:cs="Arial"/>
                <w:color w:val="000000"/>
                <w:kern w:val="24"/>
                <w:sz w:val="16"/>
                <w:szCs w:val="16"/>
              </w:rPr>
              <w:t>), suoi sali e composti a esso correlati</w:t>
            </w:r>
          </w:p>
        </w:tc>
        <w:tc>
          <w:tcPr>
            <w:tcW w:w="804" w:type="dxa"/>
            <w:shd w:val="clear" w:color="auto" w:fill="FFE599" w:themeFill="accent4" w:themeFillTint="66"/>
          </w:tcPr>
          <w:p w14:paraId="7CAA625F" w14:textId="0D1830D0"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355-46-4 e altri</w:t>
            </w:r>
          </w:p>
        </w:tc>
        <w:tc>
          <w:tcPr>
            <w:tcW w:w="617" w:type="dxa"/>
            <w:shd w:val="clear" w:color="auto" w:fill="FFE599" w:themeFill="accent4" w:themeFillTint="66"/>
          </w:tcPr>
          <w:p w14:paraId="2F8CC8A1" w14:textId="74154585"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lang w:eastAsia="it-IT"/>
              </w:rPr>
              <w:t>355-46-4 e altri</w:t>
            </w:r>
          </w:p>
        </w:tc>
        <w:tc>
          <w:tcPr>
            <w:tcW w:w="1898" w:type="dxa"/>
            <w:shd w:val="clear" w:color="auto" w:fill="FFE599" w:themeFill="accent4" w:themeFillTint="66"/>
          </w:tcPr>
          <w:p w14:paraId="6F18F4BA"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1 mg/kg</w:t>
            </w:r>
          </w:p>
          <w:p w14:paraId="2B7175B0"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w:t>
            </w:r>
            <w:proofErr w:type="spellStart"/>
            <w:r w:rsidRPr="00627260">
              <w:rPr>
                <w:rFonts w:ascii="Arial" w:hAnsi="Arial" w:cs="Arial"/>
                <w:color w:val="000000"/>
                <w:kern w:val="24"/>
                <w:sz w:val="16"/>
                <w:szCs w:val="16"/>
              </w:rPr>
              <w:t>PFHxS</w:t>
            </w:r>
            <w:proofErr w:type="spellEnd"/>
            <w:r w:rsidRPr="00627260">
              <w:rPr>
                <w:rFonts w:ascii="Arial" w:hAnsi="Arial" w:cs="Arial"/>
                <w:color w:val="000000"/>
                <w:kern w:val="24"/>
                <w:sz w:val="16"/>
                <w:szCs w:val="16"/>
              </w:rPr>
              <w:t xml:space="preserve"> e suoi sali), 40 mg/kg</w:t>
            </w:r>
          </w:p>
          <w:p w14:paraId="3ABCACFE" w14:textId="77777777" w:rsidR="00DC17E3" w:rsidRPr="00627260" w:rsidRDefault="00DC17E3" w:rsidP="00DC17E3">
            <w:pPr>
              <w:spacing w:line="256" w:lineRule="auto"/>
              <w:jc w:val="both"/>
              <w:rPr>
                <w:rFonts w:ascii="Arial" w:hAnsi="Arial" w:cs="Arial"/>
                <w:color w:val="000000"/>
                <w:kern w:val="24"/>
                <w:sz w:val="16"/>
                <w:szCs w:val="16"/>
              </w:rPr>
            </w:pPr>
            <w:r w:rsidRPr="00627260">
              <w:rPr>
                <w:rFonts w:ascii="Arial" w:hAnsi="Arial" w:cs="Arial"/>
                <w:color w:val="000000"/>
                <w:kern w:val="24"/>
                <w:sz w:val="16"/>
                <w:szCs w:val="16"/>
              </w:rPr>
              <w:t xml:space="preserve">(somma dei composti correlati al </w:t>
            </w:r>
            <w:proofErr w:type="spellStart"/>
            <w:r w:rsidRPr="00627260">
              <w:rPr>
                <w:rFonts w:ascii="Arial" w:hAnsi="Arial" w:cs="Arial"/>
                <w:color w:val="000000"/>
                <w:kern w:val="24"/>
                <w:sz w:val="16"/>
                <w:szCs w:val="16"/>
              </w:rPr>
              <w:t>PFHxS</w:t>
            </w:r>
            <w:proofErr w:type="spellEnd"/>
            <w:r w:rsidRPr="00627260">
              <w:rPr>
                <w:rFonts w:ascii="Arial" w:hAnsi="Arial" w:cs="Arial"/>
                <w:color w:val="000000"/>
                <w:kern w:val="24"/>
                <w:sz w:val="16"/>
                <w:szCs w:val="16"/>
              </w:rPr>
              <w:t>).</w:t>
            </w:r>
          </w:p>
          <w:p w14:paraId="46F9948A" w14:textId="73454DC2"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La Commissione rivede tale limite di concentrazione e, se del caso, adotta una proposta legislativa per abbassare tale valore, ove ciò sia possibile in linea con il progresso scientifico e tecnico, entro il 30 dicembre 2027.</w:t>
            </w:r>
          </w:p>
        </w:tc>
        <w:tc>
          <w:tcPr>
            <w:tcW w:w="1951" w:type="dxa"/>
            <w:shd w:val="clear" w:color="auto" w:fill="FFE599" w:themeFill="accent4" w:themeFillTint="66"/>
          </w:tcPr>
          <w:p w14:paraId="44C5023D" w14:textId="77777777" w:rsidR="00DC17E3" w:rsidRPr="00627260" w:rsidRDefault="00DC17E3" w:rsidP="00DC17E3">
            <w:pPr>
              <w:spacing w:line="256" w:lineRule="auto"/>
              <w:rPr>
                <w:rFonts w:ascii="Arial" w:hAnsi="Arial" w:cs="Arial"/>
                <w:color w:val="000000"/>
                <w:kern w:val="24"/>
                <w:sz w:val="16"/>
                <w:szCs w:val="16"/>
              </w:rPr>
            </w:pPr>
            <w:r w:rsidRPr="00627260">
              <w:rPr>
                <w:rFonts w:ascii="Arial" w:hAnsi="Arial" w:cs="Arial"/>
                <w:color w:val="000000"/>
                <w:kern w:val="24"/>
                <w:sz w:val="16"/>
                <w:szCs w:val="16"/>
              </w:rPr>
              <w:t>Tensioattivi</w:t>
            </w:r>
          </w:p>
          <w:p w14:paraId="6FC459FB" w14:textId="54F3B440"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Impermeabilizzanti</w:t>
            </w:r>
          </w:p>
        </w:tc>
        <w:tc>
          <w:tcPr>
            <w:tcW w:w="919" w:type="dxa"/>
            <w:shd w:val="clear" w:color="auto" w:fill="FFE599" w:themeFill="accent4" w:themeFillTint="66"/>
          </w:tcPr>
          <w:p w14:paraId="5ABCE8F2" w14:textId="6E96097C"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SI (2017)</w:t>
            </w:r>
          </w:p>
        </w:tc>
        <w:tc>
          <w:tcPr>
            <w:tcW w:w="990" w:type="dxa"/>
            <w:shd w:val="clear" w:color="auto" w:fill="FFE599" w:themeFill="accent4" w:themeFillTint="66"/>
          </w:tcPr>
          <w:p w14:paraId="1C416202" w14:textId="0CF6D036"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30" w:type="dxa"/>
            <w:shd w:val="clear" w:color="auto" w:fill="FFE599" w:themeFill="accent4" w:themeFillTint="66"/>
          </w:tcPr>
          <w:p w14:paraId="1359B541" w14:textId="739E6C53"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c>
          <w:tcPr>
            <w:tcW w:w="574" w:type="dxa"/>
            <w:shd w:val="clear" w:color="auto" w:fill="FFE599" w:themeFill="accent4" w:themeFillTint="66"/>
          </w:tcPr>
          <w:p w14:paraId="738B3FDF" w14:textId="1FAE9BA6" w:rsidR="00DC17E3" w:rsidRPr="00627260" w:rsidRDefault="00DC17E3" w:rsidP="00DC17E3">
            <w:pPr>
              <w:jc w:val="both"/>
              <w:rPr>
                <w:rFonts w:ascii="Arial" w:hAnsi="Arial" w:cs="Arial"/>
                <w:sz w:val="16"/>
                <w:szCs w:val="16"/>
              </w:rPr>
            </w:pPr>
            <w:r w:rsidRPr="00627260">
              <w:rPr>
                <w:rFonts w:ascii="Arial" w:hAnsi="Arial" w:cs="Arial"/>
                <w:color w:val="000000"/>
                <w:kern w:val="24"/>
                <w:sz w:val="16"/>
                <w:szCs w:val="16"/>
              </w:rPr>
              <w:t>NO</w:t>
            </w:r>
          </w:p>
        </w:tc>
      </w:tr>
    </w:tbl>
    <w:p w14:paraId="703CAA71" w14:textId="23C1CE48" w:rsidR="00DC17E3" w:rsidRDefault="00A25AF3" w:rsidP="00A25AF3">
      <w:pPr>
        <w:spacing w:before="80" w:after="120" w:line="264" w:lineRule="auto"/>
        <w:jc w:val="both"/>
        <w:rPr>
          <w:rFonts w:ascii="Arial" w:eastAsia="Calibri" w:hAnsi="Arial" w:cs="Arial"/>
          <w:sz w:val="16"/>
          <w:szCs w:val="16"/>
        </w:rPr>
      </w:pPr>
      <w:r>
        <w:rPr>
          <w:rFonts w:ascii="Calibri" w:eastAsia="Times New Roman" w:hAnsi="Calibri" w:cs="Arial"/>
          <w:lang w:eastAsia="it-IT"/>
        </w:rPr>
        <w:t xml:space="preserve">Nota: </w:t>
      </w:r>
      <w:r w:rsidR="00DC17E3">
        <w:rPr>
          <w:rFonts w:ascii="Calibri" w:eastAsia="Times New Roman" w:hAnsi="Calibri" w:cs="Arial"/>
          <w:lang w:eastAsia="it-IT"/>
        </w:rPr>
        <w:t xml:space="preserve">I numeri 4-11-27-28-29-30 sono stati aggiornati </w:t>
      </w:r>
      <w:r w:rsidRPr="00A25AF3">
        <w:rPr>
          <w:rFonts w:ascii="Calibri" w:eastAsia="Times New Roman" w:hAnsi="Calibri" w:cs="Arial"/>
          <w:lang w:eastAsia="it-IT"/>
        </w:rPr>
        <w:t xml:space="preserve">Regolamento (UE) 2022/2400 che si applica dal 10 giugno 2023   </w:t>
      </w:r>
    </w:p>
    <w:p w14:paraId="097AE442" w14:textId="6FC1934B" w:rsidR="001F2B93" w:rsidRPr="001F2B93" w:rsidRDefault="001F2B93" w:rsidP="001F2B93">
      <w:pPr>
        <w:jc w:val="both"/>
        <w:rPr>
          <w:rFonts w:ascii="Arial" w:eastAsia="Calibri" w:hAnsi="Arial" w:cs="Arial"/>
          <w:sz w:val="16"/>
          <w:szCs w:val="16"/>
        </w:rPr>
      </w:pPr>
      <w:r w:rsidRPr="001F2B93">
        <w:rPr>
          <w:rFonts w:ascii="Arial" w:eastAsia="Calibri" w:hAnsi="Arial" w:cs="Arial"/>
          <w:sz w:val="16"/>
          <w:szCs w:val="16"/>
        </w:rPr>
        <w:t>Tabella 1. Allegato IV del Regolamento 1021/2019/UE</w:t>
      </w:r>
    </w:p>
    <w:p w14:paraId="4A9370EA" w14:textId="77777777" w:rsidR="001F2B93" w:rsidRPr="001F2B93" w:rsidRDefault="001F2B93" w:rsidP="001F2B93">
      <w:pPr>
        <w:numPr>
          <w:ilvl w:val="0"/>
          <w:numId w:val="1"/>
        </w:numPr>
        <w:spacing w:before="80" w:after="80" w:line="264" w:lineRule="auto"/>
        <w:contextualSpacing/>
        <w:jc w:val="both"/>
        <w:rPr>
          <w:rFonts w:ascii="Arial" w:eastAsia="Calibri" w:hAnsi="Arial" w:cs="Arial"/>
          <w:sz w:val="16"/>
          <w:szCs w:val="16"/>
        </w:rPr>
      </w:pPr>
      <w:r w:rsidRPr="001F2B93">
        <w:rPr>
          <w:rFonts w:ascii="Arial" w:eastAsia="Calibri" w:hAnsi="Arial" w:cs="Arial"/>
          <w:sz w:val="16"/>
          <w:szCs w:val="16"/>
        </w:rPr>
        <w:t xml:space="preserve">Naftaleni policlorurati: composti chimici basati sul sistema ciclico del naftalene, in cui uno o più atomi di idrogeno sono sostituiti da atomi di cloro. </w:t>
      </w:r>
    </w:p>
    <w:p w14:paraId="0DCAEDAE" w14:textId="77777777" w:rsidR="008C2470" w:rsidRDefault="008C2470" w:rsidP="001F2B93">
      <w:pPr>
        <w:pStyle w:val="Paragrafoelenco"/>
        <w:numPr>
          <w:ilvl w:val="0"/>
          <w:numId w:val="1"/>
        </w:numPr>
        <w:spacing w:before="80" w:after="80" w:line="264" w:lineRule="auto"/>
        <w:jc w:val="both"/>
        <w:rPr>
          <w:rFonts w:ascii="Arial" w:eastAsia="Calibri" w:hAnsi="Arial" w:cs="Arial"/>
          <w:sz w:val="16"/>
          <w:szCs w:val="16"/>
        </w:rPr>
      </w:pPr>
      <w:r w:rsidRPr="008C2470">
        <w:rPr>
          <w:rFonts w:ascii="Arial" w:eastAsia="Calibri" w:hAnsi="Arial" w:cs="Arial"/>
          <w:sz w:val="16"/>
          <w:szCs w:val="16"/>
        </w:rPr>
        <w:lastRenderedPageBreak/>
        <w:t>Il limite è calcolato come la somma di PCDD, PCDF e dl-PCB in base ai fattori di tossicità equivalente (TEF) di cui alla parte 2, terzo comma, della tabella dell’allegato V.</w:t>
      </w:r>
    </w:p>
    <w:p w14:paraId="0DBFF3BF" w14:textId="79ECD597" w:rsidR="001F2B93" w:rsidRPr="008C2470" w:rsidRDefault="001F2B93" w:rsidP="001F2B93">
      <w:pPr>
        <w:pStyle w:val="Paragrafoelenco"/>
        <w:numPr>
          <w:ilvl w:val="0"/>
          <w:numId w:val="1"/>
        </w:numPr>
        <w:spacing w:before="80" w:after="80" w:line="264" w:lineRule="auto"/>
        <w:jc w:val="both"/>
        <w:rPr>
          <w:rFonts w:ascii="Arial" w:eastAsia="Calibri" w:hAnsi="Arial" w:cs="Arial"/>
          <w:sz w:val="16"/>
          <w:szCs w:val="16"/>
        </w:rPr>
      </w:pPr>
      <w:r w:rsidRPr="008C2470">
        <w:rPr>
          <w:rFonts w:ascii="Arial" w:eastAsia="Calibri" w:hAnsi="Arial" w:cs="Arial"/>
          <w:sz w:val="16"/>
          <w:szCs w:val="16"/>
        </w:rPr>
        <w:t xml:space="preserve">Ove applicabile, si utilizza il metodo di calcolo indicato nelle norme europee EN 12766-1 </w:t>
      </w:r>
      <w:proofErr w:type="gramStart"/>
      <w:r w:rsidRPr="008C2470">
        <w:rPr>
          <w:rFonts w:ascii="Arial" w:eastAsia="Calibri" w:hAnsi="Arial" w:cs="Arial"/>
          <w:sz w:val="16"/>
          <w:szCs w:val="16"/>
        </w:rPr>
        <w:t>e</w:t>
      </w:r>
      <w:proofErr w:type="gramEnd"/>
      <w:r w:rsidRPr="008C2470">
        <w:rPr>
          <w:rFonts w:ascii="Arial" w:eastAsia="Calibri" w:hAnsi="Arial" w:cs="Arial"/>
          <w:sz w:val="16"/>
          <w:szCs w:val="16"/>
        </w:rPr>
        <w:t xml:space="preserve"> EN 12766-2.</w:t>
      </w:r>
    </w:p>
    <w:p w14:paraId="17F6A5A1" w14:textId="77777777" w:rsidR="001F2B93" w:rsidRPr="001F2B93" w:rsidRDefault="001F2B93" w:rsidP="001F2B93">
      <w:pPr>
        <w:numPr>
          <w:ilvl w:val="0"/>
          <w:numId w:val="1"/>
        </w:numPr>
        <w:spacing w:before="80" w:after="80" w:line="264" w:lineRule="auto"/>
        <w:contextualSpacing/>
        <w:jc w:val="both"/>
        <w:rPr>
          <w:rFonts w:ascii="Arial" w:eastAsia="Calibri" w:hAnsi="Arial" w:cs="Arial"/>
          <w:sz w:val="16"/>
          <w:szCs w:val="16"/>
        </w:rPr>
      </w:pPr>
      <w:r w:rsidRPr="001F2B93">
        <w:rPr>
          <w:rFonts w:ascii="Arial" w:eastAsia="Calibri" w:hAnsi="Arial" w:cs="Arial"/>
          <w:sz w:val="16"/>
          <w:szCs w:val="16"/>
        </w:rPr>
        <w:t>Per «</w:t>
      </w:r>
      <w:proofErr w:type="spellStart"/>
      <w:r w:rsidRPr="001F2B93">
        <w:rPr>
          <w:rFonts w:ascii="Arial" w:eastAsia="Calibri" w:hAnsi="Arial" w:cs="Arial"/>
          <w:sz w:val="16"/>
          <w:szCs w:val="16"/>
        </w:rPr>
        <w:t>esabromociclododecano</w:t>
      </w:r>
      <w:proofErr w:type="spellEnd"/>
      <w:r w:rsidRPr="001F2B93">
        <w:rPr>
          <w:rFonts w:ascii="Arial" w:eastAsia="Calibri" w:hAnsi="Arial" w:cs="Arial"/>
          <w:sz w:val="16"/>
          <w:szCs w:val="16"/>
        </w:rPr>
        <w:t xml:space="preserve">» si intendono </w:t>
      </w:r>
      <w:proofErr w:type="spellStart"/>
      <w:r w:rsidRPr="001F2B93">
        <w:rPr>
          <w:rFonts w:ascii="Arial" w:eastAsia="Calibri" w:hAnsi="Arial" w:cs="Arial"/>
          <w:sz w:val="16"/>
          <w:szCs w:val="16"/>
        </w:rPr>
        <w:t>esabromociclododecano</w:t>
      </w:r>
      <w:proofErr w:type="spellEnd"/>
      <w:r w:rsidRPr="001F2B93">
        <w:rPr>
          <w:rFonts w:ascii="Arial" w:eastAsia="Calibri" w:hAnsi="Arial" w:cs="Arial"/>
          <w:sz w:val="16"/>
          <w:szCs w:val="16"/>
        </w:rPr>
        <w:t xml:space="preserve">, 1,2,5,6,9,10-esabromociclododecano e i suoi principali </w:t>
      </w:r>
      <w:proofErr w:type="spellStart"/>
      <w:r w:rsidRPr="001F2B93">
        <w:rPr>
          <w:rFonts w:ascii="Arial" w:eastAsia="Calibri" w:hAnsi="Arial" w:cs="Arial"/>
          <w:sz w:val="16"/>
          <w:szCs w:val="16"/>
        </w:rPr>
        <w:t>diastereoisomeri</w:t>
      </w:r>
      <w:proofErr w:type="spellEnd"/>
      <w:r w:rsidRPr="001F2B93">
        <w:rPr>
          <w:rFonts w:ascii="Arial" w:eastAsia="Calibri" w:hAnsi="Arial" w:cs="Arial"/>
          <w:sz w:val="16"/>
          <w:szCs w:val="16"/>
        </w:rPr>
        <w:t>: alfa-</w:t>
      </w:r>
      <w:proofErr w:type="spellStart"/>
      <w:r w:rsidRPr="001F2B93">
        <w:rPr>
          <w:rFonts w:ascii="Arial" w:eastAsia="Calibri" w:hAnsi="Arial" w:cs="Arial"/>
          <w:sz w:val="16"/>
          <w:szCs w:val="16"/>
        </w:rPr>
        <w:t>esabromociclododecano</w:t>
      </w:r>
      <w:proofErr w:type="spellEnd"/>
      <w:r w:rsidRPr="001F2B93">
        <w:rPr>
          <w:rFonts w:ascii="Arial" w:eastAsia="Calibri" w:hAnsi="Arial" w:cs="Arial"/>
          <w:sz w:val="16"/>
          <w:szCs w:val="16"/>
        </w:rPr>
        <w:t>, beta-</w:t>
      </w:r>
      <w:proofErr w:type="spellStart"/>
      <w:r w:rsidRPr="001F2B93">
        <w:rPr>
          <w:rFonts w:ascii="Arial" w:eastAsia="Calibri" w:hAnsi="Arial" w:cs="Arial"/>
          <w:sz w:val="16"/>
          <w:szCs w:val="16"/>
        </w:rPr>
        <w:t>esabromociclododecano</w:t>
      </w:r>
      <w:proofErr w:type="spellEnd"/>
      <w:r w:rsidRPr="001F2B93">
        <w:rPr>
          <w:rFonts w:ascii="Arial" w:eastAsia="Calibri" w:hAnsi="Arial" w:cs="Arial"/>
          <w:sz w:val="16"/>
          <w:szCs w:val="16"/>
        </w:rPr>
        <w:t xml:space="preserve"> e gamma-</w:t>
      </w:r>
      <w:proofErr w:type="spellStart"/>
      <w:r w:rsidRPr="001F2B93">
        <w:rPr>
          <w:rFonts w:ascii="Arial" w:eastAsia="Calibri" w:hAnsi="Arial" w:cs="Arial"/>
          <w:sz w:val="16"/>
          <w:szCs w:val="16"/>
        </w:rPr>
        <w:t>esabromociclododecano</w:t>
      </w:r>
      <w:proofErr w:type="spellEnd"/>
      <w:r w:rsidRPr="001F2B93">
        <w:rPr>
          <w:rFonts w:ascii="Arial" w:eastAsia="Calibri" w:hAnsi="Arial" w:cs="Arial"/>
          <w:sz w:val="16"/>
          <w:szCs w:val="16"/>
        </w:rPr>
        <w:t>.</w:t>
      </w:r>
    </w:p>
    <w:p w14:paraId="32EA1805" w14:textId="13C231F9" w:rsidR="00ED1686" w:rsidRDefault="00ED1686" w:rsidP="001F2B93">
      <w:pPr>
        <w:spacing w:before="80" w:after="120" w:line="264" w:lineRule="auto"/>
        <w:jc w:val="both"/>
        <w:rPr>
          <w:rFonts w:ascii="Calibri" w:eastAsia="Times New Roman" w:hAnsi="Calibri" w:cs="Arial"/>
          <w:iCs/>
          <w:lang w:eastAsia="it-IT"/>
        </w:rPr>
      </w:pPr>
    </w:p>
    <w:p w14:paraId="4CFADD07" w14:textId="77777777" w:rsidR="00553290" w:rsidRPr="00553290" w:rsidRDefault="00553290" w:rsidP="00553290">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 w:name="_Toc126664560"/>
      <w:r w:rsidRPr="00553290">
        <w:rPr>
          <w:rFonts w:ascii="Calibri" w:eastAsia="Times New Roman" w:hAnsi="Calibri" w:cs="Times New Roman"/>
          <w:b/>
          <w:iCs/>
          <w:snapToGrid w:val="0"/>
          <w:sz w:val="24"/>
          <w:szCs w:val="20"/>
          <w:lang w:eastAsia="it-IT"/>
        </w:rPr>
        <w:t xml:space="preserve">2-Le quantità di sostanze </w:t>
      </w:r>
      <w:proofErr w:type="spellStart"/>
      <w:r w:rsidRPr="00553290">
        <w:rPr>
          <w:rFonts w:ascii="Calibri" w:eastAsia="Times New Roman" w:hAnsi="Calibri" w:cs="Times New Roman"/>
          <w:b/>
          <w:iCs/>
          <w:snapToGrid w:val="0"/>
          <w:sz w:val="24"/>
          <w:szCs w:val="20"/>
          <w:lang w:eastAsia="it-IT"/>
        </w:rPr>
        <w:t>POPs</w:t>
      </w:r>
      <w:proofErr w:type="spellEnd"/>
      <w:r w:rsidRPr="00553290">
        <w:rPr>
          <w:rFonts w:ascii="Calibri" w:eastAsia="Times New Roman" w:hAnsi="Calibri" w:cs="Times New Roman"/>
          <w:b/>
          <w:iCs/>
          <w:snapToGrid w:val="0"/>
          <w:sz w:val="24"/>
          <w:szCs w:val="20"/>
          <w:lang w:eastAsia="it-IT"/>
        </w:rPr>
        <w:t xml:space="preserve"> identificate nei rifiuti di partenza, che daranno origine all’EOW, sono inferiori ai limiti previsti dall’allegato IV?</w:t>
      </w:r>
      <w:bookmarkEnd w:id="4"/>
    </w:p>
    <w:p w14:paraId="4EFE41D0" w14:textId="77777777" w:rsidR="00553290" w:rsidRPr="003B53CB" w:rsidRDefault="00553290" w:rsidP="00553290">
      <w:pPr>
        <w:spacing w:before="80" w:after="120" w:line="264" w:lineRule="auto"/>
        <w:jc w:val="both"/>
        <w:rPr>
          <w:rFonts w:ascii="Calibri" w:eastAsia="Times New Roman" w:hAnsi="Calibri" w:cs="Arial"/>
          <w:i/>
          <w:lang w:eastAsia="it-IT"/>
        </w:rPr>
      </w:pPr>
      <w:r w:rsidRPr="003B53CB">
        <w:rPr>
          <w:rFonts w:ascii="Calibri" w:eastAsia="Times New Roman" w:hAnsi="Calibri" w:cs="Arial"/>
          <w:i/>
          <w:lang w:eastAsia="it-IT"/>
        </w:rPr>
        <w:t>Riferimenti: art 7 (4) a)</w:t>
      </w:r>
    </w:p>
    <w:p w14:paraId="402ADBEC" w14:textId="20DC6D7E" w:rsidR="00553290" w:rsidRDefault="00C61F44" w:rsidP="085B2EC0">
      <w:pPr>
        <w:spacing w:before="80" w:after="120" w:line="264" w:lineRule="auto"/>
        <w:jc w:val="both"/>
        <w:rPr>
          <w:rFonts w:ascii="Calibri" w:eastAsia="Times New Roman" w:hAnsi="Calibri" w:cs="Arial"/>
          <w:lang w:eastAsia="it-IT"/>
        </w:rPr>
      </w:pPr>
      <w:r w:rsidRPr="085B2EC0">
        <w:rPr>
          <w:rFonts w:ascii="Calibri" w:eastAsia="Times New Roman" w:hAnsi="Calibri" w:cs="Arial"/>
          <w:i/>
          <w:iCs/>
          <w:color w:val="4472C4" w:themeColor="accent1"/>
          <w:lang w:eastAsia="it-IT"/>
        </w:rPr>
        <w:t>Se sono inferiori al limite possono essere recuperati o smaltiti in conformità della legislazione europea. Se non sono inferiori ai limiti previsti dall’allegato IV, il RIFIUTO, dovrà essere smaltito e/o recuperato SOLO secondo le indicazioni dell’allegato V parte 1 o parte 2</w:t>
      </w:r>
    </w:p>
    <w:p w14:paraId="4743CA65" w14:textId="77777777" w:rsidR="00553290" w:rsidRPr="00553290" w:rsidRDefault="00553290" w:rsidP="00553290">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5" w:name="_Toc126664561"/>
      <w:r w:rsidRPr="00553290">
        <w:rPr>
          <w:rFonts w:ascii="Calibri" w:eastAsia="Times New Roman" w:hAnsi="Calibri" w:cs="Times New Roman"/>
          <w:b/>
          <w:iCs/>
          <w:snapToGrid w:val="0"/>
          <w:sz w:val="24"/>
          <w:szCs w:val="20"/>
          <w:lang w:eastAsia="it-IT"/>
        </w:rPr>
        <w:t>3-Nel EOW finale (sostanze, miscela o articolo) sono presenti delle tracce?</w:t>
      </w:r>
      <w:bookmarkEnd w:id="5"/>
    </w:p>
    <w:p w14:paraId="0EB8607B" w14:textId="224CD742" w:rsidR="00553290" w:rsidRPr="003B53CB" w:rsidRDefault="00553290" w:rsidP="00553290">
      <w:pPr>
        <w:spacing w:before="80" w:after="120" w:line="264" w:lineRule="auto"/>
        <w:jc w:val="both"/>
        <w:rPr>
          <w:rFonts w:ascii="Calibri" w:eastAsia="Times New Roman" w:hAnsi="Calibri" w:cs="Arial"/>
          <w:i/>
          <w:lang w:eastAsia="it-IT"/>
        </w:rPr>
      </w:pPr>
      <w:r w:rsidRPr="003B53CB">
        <w:rPr>
          <w:rFonts w:ascii="Calibri" w:eastAsia="Times New Roman" w:hAnsi="Calibri" w:cs="Arial"/>
          <w:i/>
          <w:lang w:eastAsia="it-IT"/>
        </w:rPr>
        <w:t>Riferimenti</w:t>
      </w:r>
      <w:r>
        <w:rPr>
          <w:rFonts w:ascii="Calibri" w:eastAsia="Times New Roman" w:hAnsi="Calibri" w:cs="Arial"/>
          <w:i/>
          <w:lang w:eastAsia="it-IT"/>
        </w:rPr>
        <w:t>:</w:t>
      </w:r>
      <w:r w:rsidRPr="003B53CB">
        <w:rPr>
          <w:rFonts w:ascii="Calibri" w:eastAsia="Times New Roman" w:hAnsi="Calibri" w:cs="Arial"/>
          <w:i/>
          <w:lang w:eastAsia="it-IT"/>
        </w:rPr>
        <w:t xml:space="preserve"> art. 3, art 4 b). </w:t>
      </w:r>
      <w:proofErr w:type="spellStart"/>
      <w:r w:rsidRPr="003B53CB">
        <w:rPr>
          <w:rFonts w:ascii="Calibri" w:eastAsia="Times New Roman" w:hAnsi="Calibri" w:cs="Arial"/>
          <w:i/>
          <w:lang w:eastAsia="it-IT"/>
        </w:rPr>
        <w:t>All.I</w:t>
      </w:r>
      <w:proofErr w:type="spellEnd"/>
      <w:r w:rsidRPr="003B53CB">
        <w:rPr>
          <w:rFonts w:ascii="Calibri" w:eastAsia="Times New Roman" w:hAnsi="Calibri" w:cs="Arial"/>
          <w:i/>
          <w:lang w:eastAsia="it-IT"/>
        </w:rPr>
        <w:t>-II.</w:t>
      </w:r>
    </w:p>
    <w:p w14:paraId="525A15B7" w14:textId="77777777" w:rsidR="00553290" w:rsidRPr="00553290" w:rsidRDefault="00553290" w:rsidP="00553290">
      <w:pPr>
        <w:spacing w:before="80" w:after="120" w:line="264" w:lineRule="auto"/>
        <w:jc w:val="both"/>
        <w:rPr>
          <w:rFonts w:ascii="Calibri" w:eastAsia="Times New Roman" w:hAnsi="Calibri" w:cs="Arial"/>
          <w:i/>
          <w:color w:val="4472C4" w:themeColor="accent1"/>
          <w:lang w:eastAsia="it-IT"/>
        </w:rPr>
      </w:pPr>
      <w:r w:rsidRPr="00553290">
        <w:rPr>
          <w:rFonts w:ascii="Calibri" w:eastAsia="Times New Roman" w:hAnsi="Calibri" w:cs="Arial"/>
          <w:i/>
          <w:color w:val="4472C4" w:themeColor="accent1"/>
          <w:lang w:eastAsia="it-IT"/>
        </w:rPr>
        <w:t>Se sono presenti delle tracce devono essere conformi a quanto indicato nell’allegato I e II. Sono previste delle deroghe e dei limiti. Non si applica invece, a una sostanza presente negli articoli già in uso antecedentemente o alla data in cui il presente regolamento o il regolamento (CE) n. 850/2004 sono diventati applicabili a tale sostanza, a seconda di quale data sia occorsa prima</w:t>
      </w:r>
    </w:p>
    <w:p w14:paraId="30E295EE" w14:textId="77777777" w:rsidR="00553290" w:rsidRDefault="00553290" w:rsidP="001F2B93">
      <w:pPr>
        <w:spacing w:before="80" w:after="120" w:line="264" w:lineRule="auto"/>
        <w:jc w:val="both"/>
        <w:rPr>
          <w:rFonts w:ascii="Calibri" w:eastAsia="Times New Roman" w:hAnsi="Calibri" w:cs="Arial"/>
          <w:iCs/>
          <w:lang w:eastAsia="it-IT"/>
        </w:rPr>
      </w:pPr>
    </w:p>
    <w:p w14:paraId="6C3CD0A7" w14:textId="35839AE4" w:rsidR="001F2B93" w:rsidRPr="00C62E96" w:rsidRDefault="001F2B93" w:rsidP="00C20F66">
      <w:pPr>
        <w:keepNext/>
        <w:shd w:val="clear" w:color="auto" w:fill="A8D08D" w:themeFill="accent6" w:themeFillTint="99"/>
        <w:spacing w:before="120" w:after="80" w:line="264" w:lineRule="auto"/>
        <w:jc w:val="both"/>
        <w:outlineLvl w:val="2"/>
        <w:rPr>
          <w:rFonts w:ascii="Calibri" w:eastAsia="Times New Roman" w:hAnsi="Calibri" w:cs="Times New Roman"/>
          <w:b/>
          <w:iCs/>
          <w:caps/>
          <w:snapToGrid w:val="0"/>
          <w:sz w:val="24"/>
          <w:szCs w:val="20"/>
          <w:lang w:eastAsia="it-IT"/>
        </w:rPr>
      </w:pPr>
      <w:bookmarkStart w:id="6" w:name="_Toc126664562"/>
      <w:r w:rsidRPr="00C62E96">
        <w:rPr>
          <w:rFonts w:ascii="Calibri" w:eastAsia="Times New Roman" w:hAnsi="Calibri" w:cs="Times New Roman"/>
          <w:b/>
          <w:iCs/>
          <w:caps/>
          <w:snapToGrid w:val="0"/>
          <w:sz w:val="24"/>
          <w:szCs w:val="20"/>
          <w:lang w:eastAsia="it-IT"/>
        </w:rPr>
        <w:t>Conclusione</w:t>
      </w:r>
      <w:r w:rsidR="00C62E96" w:rsidRPr="00C62E96">
        <w:rPr>
          <w:rFonts w:ascii="Calibri" w:eastAsia="Times New Roman" w:hAnsi="Calibri" w:cs="Times New Roman"/>
          <w:b/>
          <w:iCs/>
          <w:caps/>
          <w:snapToGrid w:val="0"/>
          <w:sz w:val="24"/>
          <w:szCs w:val="20"/>
          <w:lang w:eastAsia="it-IT"/>
        </w:rPr>
        <w:t xml:space="preserve"> valutazione POPs</w:t>
      </w:r>
      <w:bookmarkEnd w:id="6"/>
    </w:p>
    <w:p w14:paraId="65D7681E" w14:textId="77777777" w:rsidR="00553290" w:rsidRPr="00E618F2" w:rsidRDefault="00553290" w:rsidP="00553290">
      <w:pPr>
        <w:spacing w:before="80" w:after="120" w:line="264" w:lineRule="auto"/>
        <w:jc w:val="both"/>
        <w:rPr>
          <w:rFonts w:ascii="Calibri" w:eastAsia="Times New Roman" w:hAnsi="Calibri" w:cs="Arial"/>
          <w:i/>
          <w:color w:val="4472C4" w:themeColor="accent1"/>
          <w:lang w:eastAsia="it-IT"/>
        </w:rPr>
      </w:pPr>
      <w:r w:rsidRPr="00E618F2">
        <w:rPr>
          <w:rFonts w:ascii="Calibri" w:eastAsia="Times New Roman" w:hAnsi="Calibri" w:cs="Arial"/>
          <w:i/>
          <w:color w:val="4472C4" w:themeColor="accent1"/>
          <w:lang w:eastAsia="it-IT"/>
        </w:rPr>
        <w:t>S</w:t>
      </w:r>
      <w:r>
        <w:rPr>
          <w:rFonts w:ascii="Calibri" w:eastAsia="Times New Roman" w:hAnsi="Calibri" w:cs="Arial"/>
          <w:i/>
          <w:color w:val="4472C4" w:themeColor="accent1"/>
          <w:lang w:eastAsia="it-IT"/>
        </w:rPr>
        <w:t>i</w:t>
      </w:r>
      <w:r w:rsidRPr="00E618F2">
        <w:rPr>
          <w:rFonts w:ascii="Calibri" w:eastAsia="Times New Roman" w:hAnsi="Calibri" w:cs="Arial"/>
          <w:i/>
          <w:color w:val="4472C4" w:themeColor="accent1"/>
          <w:lang w:eastAsia="it-IT"/>
        </w:rPr>
        <w:t xml:space="preserve"> inserisce il risultato della valutazione in maniera sintetica.</w:t>
      </w:r>
    </w:p>
    <w:p w14:paraId="741D753A" w14:textId="54381352" w:rsidR="001F2B93" w:rsidRDefault="001F2B93" w:rsidP="001F2B93">
      <w:pPr>
        <w:spacing w:before="80" w:after="120" w:line="264" w:lineRule="auto"/>
        <w:jc w:val="both"/>
        <w:rPr>
          <w:rFonts w:ascii="Calibri" w:eastAsia="Times New Roman" w:hAnsi="Calibri" w:cs="Arial"/>
          <w:iCs/>
          <w:lang w:eastAsia="it-IT"/>
        </w:rPr>
      </w:pPr>
    </w:p>
    <w:p w14:paraId="57A5CB9D" w14:textId="77777777" w:rsidR="00C62E96" w:rsidRPr="001F2B93" w:rsidRDefault="00C62E96" w:rsidP="001F2B93">
      <w:pPr>
        <w:spacing w:before="80" w:after="120" w:line="264" w:lineRule="auto"/>
        <w:jc w:val="both"/>
        <w:rPr>
          <w:rFonts w:ascii="Calibri" w:eastAsia="Times New Roman" w:hAnsi="Calibri" w:cs="Arial"/>
          <w:iCs/>
          <w:lang w:eastAsia="it-IT"/>
        </w:rPr>
      </w:pPr>
    </w:p>
    <w:p w14:paraId="292714E7" w14:textId="58610115" w:rsidR="001F2B93" w:rsidRPr="00E25F9F" w:rsidRDefault="001F2B93" w:rsidP="00A25AB5">
      <w:pPr>
        <w:keepNext/>
        <w:shd w:val="clear" w:color="auto" w:fill="000000" w:themeFill="text1"/>
        <w:spacing w:before="120" w:after="80" w:line="264" w:lineRule="auto"/>
        <w:jc w:val="both"/>
        <w:outlineLvl w:val="2"/>
        <w:rPr>
          <w:rFonts w:ascii="Calibri" w:eastAsia="Times New Roman" w:hAnsi="Calibri" w:cs="Times New Roman"/>
          <w:b/>
          <w:iCs/>
          <w:caps/>
          <w:snapToGrid w:val="0"/>
          <w:sz w:val="24"/>
          <w:szCs w:val="20"/>
          <w:lang w:eastAsia="it-IT"/>
        </w:rPr>
      </w:pPr>
      <w:bookmarkStart w:id="7" w:name="_Toc126664563"/>
      <w:bookmarkStart w:id="8" w:name="_Hlk55994939"/>
      <w:r w:rsidRPr="00E25F9F">
        <w:rPr>
          <w:rFonts w:ascii="Calibri" w:eastAsia="Times New Roman" w:hAnsi="Calibri" w:cs="Times New Roman"/>
          <w:b/>
          <w:iCs/>
          <w:caps/>
          <w:snapToGrid w:val="0"/>
          <w:sz w:val="24"/>
          <w:szCs w:val="20"/>
          <w:lang w:eastAsia="it-IT"/>
        </w:rPr>
        <w:t>Valutazioni adempimenti REACH e CLP</w:t>
      </w:r>
      <w:bookmarkEnd w:id="7"/>
      <w:r w:rsidRPr="00E25F9F">
        <w:rPr>
          <w:rFonts w:ascii="Calibri" w:eastAsia="Times New Roman" w:hAnsi="Calibri" w:cs="Times New Roman"/>
          <w:b/>
          <w:iCs/>
          <w:caps/>
          <w:snapToGrid w:val="0"/>
          <w:sz w:val="24"/>
          <w:szCs w:val="20"/>
          <w:lang w:eastAsia="it-IT"/>
        </w:rPr>
        <w:t xml:space="preserve"> </w:t>
      </w:r>
    </w:p>
    <w:p w14:paraId="220BE5A3" w14:textId="77777777" w:rsidR="00ED1686" w:rsidRPr="00B952B4" w:rsidRDefault="00ED1686" w:rsidP="00ED1686">
      <w:pPr>
        <w:spacing w:before="80" w:after="120" w:line="264" w:lineRule="auto"/>
        <w:jc w:val="both"/>
        <w:rPr>
          <w:rFonts w:ascii="Calibri" w:eastAsia="Times New Roman" w:hAnsi="Calibri" w:cs="Times New Roman"/>
          <w:b/>
          <w:iCs/>
          <w:snapToGrid w:val="0"/>
          <w:color w:val="4472C4" w:themeColor="accent1"/>
          <w:sz w:val="24"/>
          <w:szCs w:val="20"/>
          <w:lang w:eastAsia="it-IT"/>
        </w:rPr>
      </w:pPr>
      <w:bookmarkStart w:id="9" w:name="_Hlk55994988"/>
      <w:r w:rsidRPr="00B952B4">
        <w:rPr>
          <w:rFonts w:ascii="Calibri" w:eastAsia="Times New Roman" w:hAnsi="Calibri" w:cs="Arial"/>
          <w:i/>
          <w:iCs/>
          <w:color w:val="4472C4" w:themeColor="accent1"/>
          <w:lang w:eastAsia="it-IT"/>
        </w:rPr>
        <w:t>La valutazione deve essere fatta sulla base dell’origine dei rifiuti e delle informazioni disponibili. Nel caso diventano disponibili nuove informazioni le valutazioni devono essere aggiornate.</w:t>
      </w:r>
    </w:p>
    <w:p w14:paraId="6B832AC0" w14:textId="77777777" w:rsidR="00ED1686" w:rsidRDefault="00ED1686" w:rsidP="001F2B93">
      <w:pPr>
        <w:spacing w:before="80" w:after="120" w:line="264" w:lineRule="auto"/>
        <w:jc w:val="both"/>
        <w:rPr>
          <w:rFonts w:ascii="Calibri" w:eastAsia="Times New Roman" w:hAnsi="Calibri" w:cs="Arial"/>
          <w:b/>
          <w:bCs/>
          <w:iCs/>
          <w:lang w:eastAsia="it-IT"/>
        </w:rPr>
      </w:pPr>
    </w:p>
    <w:p w14:paraId="5B59ABDF" w14:textId="3091FC27" w:rsidR="001F2B93" w:rsidRPr="001F2B93" w:rsidRDefault="001F2B93" w:rsidP="00E25F9F">
      <w:pPr>
        <w:keepNext/>
        <w:spacing w:before="120" w:after="80" w:line="264" w:lineRule="auto"/>
        <w:jc w:val="both"/>
        <w:outlineLvl w:val="2"/>
        <w:rPr>
          <w:rFonts w:ascii="Calibri" w:eastAsia="Times New Roman" w:hAnsi="Calibri" w:cs="Arial"/>
          <w:b/>
          <w:bCs/>
          <w:iCs/>
          <w:lang w:eastAsia="it-IT"/>
        </w:rPr>
      </w:pPr>
      <w:bookmarkStart w:id="10" w:name="_Toc126664564"/>
      <w:r w:rsidRPr="00E25F9F">
        <w:rPr>
          <w:rFonts w:ascii="Calibri" w:eastAsia="Times New Roman" w:hAnsi="Calibri" w:cs="Times New Roman"/>
          <w:b/>
          <w:iCs/>
          <w:snapToGrid w:val="0"/>
          <w:sz w:val="24"/>
          <w:szCs w:val="20"/>
          <w:lang w:eastAsia="it-IT"/>
        </w:rPr>
        <w:t>Premessa</w:t>
      </w:r>
      <w:bookmarkEnd w:id="10"/>
    </w:p>
    <w:p w14:paraId="08D2779A" w14:textId="27C7BBEF" w:rsidR="00AF7009" w:rsidRDefault="001F2B93" w:rsidP="085B2EC0">
      <w:pPr>
        <w:spacing w:before="80" w:after="120" w:line="264" w:lineRule="auto"/>
        <w:jc w:val="both"/>
        <w:rPr>
          <w:rFonts w:ascii="Calibri" w:eastAsia="Times New Roman" w:hAnsi="Calibri" w:cs="Arial"/>
          <w:lang w:eastAsia="it-IT"/>
        </w:rPr>
      </w:pPr>
      <w:r w:rsidRPr="085B2EC0">
        <w:rPr>
          <w:rFonts w:ascii="Calibri" w:eastAsia="Times New Roman" w:hAnsi="Calibri" w:cs="Arial"/>
          <w:lang w:eastAsia="it-IT"/>
        </w:rPr>
        <w:t>Non appena un materiale “cessa di essere un rifiuto”, le disposizioni del regolamento REACH sono applicabili in linea di principio come per qualsiasi altro materiale, con un numero di eccezioni concesse con riserva. La verifica dei vari adempimenti non riguarda solo la possibile registrazione REACH o esenzione ad essa, ma tutti gli adempimenti pertinenti applicabili, anche riferiti al regolamento CLP. Di seguito verranno esaminati, tutti gli adempimenti con una sequenza logica coerente. Il riferimento è la guida ECHA alle sostanze recuperate del maggio 2010 versione 2.</w:t>
      </w:r>
      <w:r w:rsidRPr="085B2EC0">
        <w:rPr>
          <w:rFonts w:ascii="Calibri" w:eastAsia="Times New Roman" w:hAnsi="Calibri" w:cs="Arial"/>
          <w:b/>
          <w:bCs/>
          <w:i/>
          <w:iCs/>
          <w:snapToGrid w:val="0"/>
          <w:lang w:eastAsia="it-IT"/>
        </w:rPr>
        <w:t xml:space="preserve"> </w:t>
      </w:r>
      <w:bookmarkStart w:id="11" w:name="_Hlk55995014"/>
      <w:bookmarkEnd w:id="8"/>
      <w:bookmarkEnd w:id="9"/>
      <w:r w:rsidR="00AF7009" w:rsidRPr="085B2EC0">
        <w:rPr>
          <w:rFonts w:ascii="Calibri" w:eastAsia="Times New Roman" w:hAnsi="Calibri" w:cs="Arial"/>
          <w:lang w:eastAsia="it-IT"/>
        </w:rPr>
        <w:t>La documentazione prodotta dall’azienda per la verifica degli adempimenti dei regolamenti REACH e CLP, applicabili agli EOW prodotti, che devono essere valutati, anche nel rispetto dell’articolo del 184-ter 5-bis, verrà tenuta a disposizione degli Enti di Controllo in caso di richiesta</w:t>
      </w:r>
      <w:r w:rsidR="15DF979C" w:rsidRPr="085B2EC0">
        <w:rPr>
          <w:rFonts w:ascii="Calibri" w:eastAsia="Times New Roman" w:hAnsi="Calibri" w:cs="Arial"/>
          <w:lang w:eastAsia="it-IT"/>
        </w:rPr>
        <w:t>.</w:t>
      </w:r>
    </w:p>
    <w:p w14:paraId="21C56374" w14:textId="5C8B6560" w:rsidR="005A3FE2" w:rsidRPr="004A27E4" w:rsidRDefault="005A3FE2" w:rsidP="007E16B4">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12" w:name="_Toc126664565"/>
      <w:r w:rsidRPr="004A27E4">
        <w:rPr>
          <w:rFonts w:ascii="Calibri" w:eastAsia="Times New Roman" w:hAnsi="Calibri" w:cs="Times New Roman"/>
          <w:b/>
          <w:iCs/>
          <w:snapToGrid w:val="0"/>
          <w:sz w:val="24"/>
          <w:szCs w:val="20"/>
          <w:lang w:eastAsia="it-IT"/>
        </w:rPr>
        <w:t>IDENTITA’</w:t>
      </w:r>
      <w:bookmarkEnd w:id="12"/>
    </w:p>
    <w:p w14:paraId="58499770" w14:textId="77777777" w:rsidR="001D654C" w:rsidRDefault="001D654C" w:rsidP="001F2B93">
      <w:pPr>
        <w:spacing w:before="80" w:after="120" w:line="264" w:lineRule="auto"/>
        <w:jc w:val="both"/>
        <w:rPr>
          <w:rFonts w:ascii="Calibri" w:eastAsia="Times New Roman" w:hAnsi="Calibri" w:cs="Arial"/>
          <w:b/>
          <w:bCs/>
          <w:iCs/>
          <w:lang w:eastAsia="it-IT"/>
        </w:rPr>
      </w:pPr>
    </w:p>
    <w:p w14:paraId="5C55815F" w14:textId="0F84E4FD" w:rsidR="001F2B93" w:rsidRPr="004A27E4" w:rsidRDefault="001F2B93" w:rsidP="004A27E4">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13" w:name="_Toc126664566"/>
      <w:r w:rsidRPr="004A27E4">
        <w:rPr>
          <w:rFonts w:ascii="Calibri" w:eastAsia="Times New Roman" w:hAnsi="Calibri" w:cs="Times New Roman"/>
          <w:b/>
          <w:iCs/>
          <w:snapToGrid w:val="0"/>
          <w:sz w:val="24"/>
          <w:szCs w:val="20"/>
          <w:lang w:eastAsia="it-IT"/>
        </w:rPr>
        <w:t xml:space="preserve">1- </w:t>
      </w:r>
      <w:r w:rsidR="00E81C02" w:rsidRPr="004C082F">
        <w:rPr>
          <w:b/>
          <w:sz w:val="24"/>
          <w:szCs w:val="24"/>
        </w:rPr>
        <w:t>Individuare se il materiale recuperato è una sostanza, una miscela o un articolo</w:t>
      </w:r>
      <w:bookmarkEnd w:id="13"/>
    </w:p>
    <w:p w14:paraId="57510B67" w14:textId="7A89C2B0" w:rsidR="001F2B93" w:rsidRPr="004C082F" w:rsidRDefault="001F2B93" w:rsidP="001F2B93">
      <w:pPr>
        <w:autoSpaceDE w:val="0"/>
        <w:autoSpaceDN w:val="0"/>
        <w:adjustRightInd w:val="0"/>
        <w:spacing w:before="80" w:after="80" w:line="264" w:lineRule="auto"/>
        <w:rPr>
          <w:rFonts w:ascii="Calibri" w:eastAsia="Times New Roman" w:hAnsi="Calibri" w:cs="Arial"/>
          <w:b/>
          <w:bCs/>
          <w:i/>
          <w:lang w:val="en-US" w:eastAsia="it-IT"/>
        </w:rPr>
      </w:pPr>
      <w:proofErr w:type="spellStart"/>
      <w:r w:rsidRPr="004C082F">
        <w:rPr>
          <w:rFonts w:ascii="Calibri" w:eastAsia="Times New Roman" w:hAnsi="Calibri" w:cs="Arial"/>
          <w:i/>
          <w:lang w:val="en-US" w:eastAsia="it-IT"/>
        </w:rPr>
        <w:t>Riferimenti</w:t>
      </w:r>
      <w:proofErr w:type="spellEnd"/>
      <w:r w:rsidRPr="004C082F">
        <w:rPr>
          <w:rFonts w:ascii="Calibri" w:eastAsia="Times New Roman" w:hAnsi="Calibri" w:cs="Arial"/>
          <w:b/>
          <w:bCs/>
          <w:i/>
          <w:lang w:val="en-US" w:eastAsia="it-IT"/>
        </w:rPr>
        <w:t xml:space="preserve">: </w:t>
      </w:r>
      <w:r w:rsidRPr="004C082F">
        <w:rPr>
          <w:rFonts w:ascii="Calibri" w:eastAsia="Times New Roman" w:hAnsi="Calibri" w:cs="Arial"/>
          <w:i/>
          <w:lang w:val="en-US" w:eastAsia="it-IT"/>
        </w:rPr>
        <w:t>art. 3(1), art.3(2)</w:t>
      </w:r>
      <w:r w:rsidR="00E81C02" w:rsidRPr="004C082F">
        <w:rPr>
          <w:rFonts w:ascii="Calibri" w:eastAsia="Times New Roman" w:hAnsi="Calibri" w:cs="Arial"/>
          <w:i/>
          <w:lang w:val="en-US" w:eastAsia="it-IT"/>
        </w:rPr>
        <w:t>, art. 3</w:t>
      </w:r>
      <w:r w:rsidR="00E81C02">
        <w:rPr>
          <w:rFonts w:ascii="Calibri" w:eastAsia="Times New Roman" w:hAnsi="Calibri" w:cs="Arial"/>
          <w:i/>
          <w:lang w:val="en-US" w:eastAsia="it-IT"/>
        </w:rPr>
        <w:t>(3)</w:t>
      </w:r>
      <w:r w:rsidRPr="004C082F">
        <w:rPr>
          <w:rFonts w:ascii="Calibri" w:eastAsia="Times New Roman" w:hAnsi="Calibri" w:cs="Arial"/>
          <w:i/>
          <w:lang w:val="en-US" w:eastAsia="it-IT"/>
        </w:rPr>
        <w:t xml:space="preserve"> </w:t>
      </w:r>
      <w:r w:rsidRPr="004C082F">
        <w:rPr>
          <w:rFonts w:ascii="Calibri" w:eastAsia="Times New Roman" w:hAnsi="Calibri" w:cs="Times New Roman"/>
          <w:i/>
          <w:szCs w:val="24"/>
          <w:lang w:val="en-US" w:eastAsia="it-IT"/>
        </w:rPr>
        <w:t>REACH, art.2(7), art. 2(8) CLP</w:t>
      </w:r>
    </w:p>
    <w:p w14:paraId="5B2F4BDA" w14:textId="77777777" w:rsidR="001F2B93" w:rsidRDefault="001F2B93" w:rsidP="001F2B93">
      <w:pPr>
        <w:autoSpaceDE w:val="0"/>
        <w:autoSpaceDN w:val="0"/>
        <w:adjustRightInd w:val="0"/>
        <w:spacing w:before="80" w:after="80" w:line="264" w:lineRule="auto"/>
        <w:rPr>
          <w:rFonts w:ascii="Calibri" w:eastAsia="Times New Roman" w:hAnsi="Calibri" w:cs="Times New Roman"/>
          <w:i/>
          <w:szCs w:val="24"/>
          <w:lang w:eastAsia="it-IT"/>
        </w:rPr>
      </w:pPr>
      <w:r w:rsidRPr="001F2B93">
        <w:rPr>
          <w:rFonts w:ascii="Calibri" w:eastAsia="Times New Roman" w:hAnsi="Calibri" w:cs="Arial"/>
          <w:i/>
          <w:lang w:eastAsia="it-IT"/>
        </w:rPr>
        <w:lastRenderedPageBreak/>
        <w:t>Linee guida:</w:t>
      </w:r>
      <w:r w:rsidRPr="001F2B93">
        <w:rPr>
          <w:rFonts w:ascii="Calibri" w:eastAsia="Times New Roman" w:hAnsi="Calibri" w:cs="Arial"/>
          <w:b/>
          <w:bCs/>
          <w:i/>
          <w:lang w:eastAsia="it-IT"/>
        </w:rPr>
        <w:t xml:space="preserve"> </w:t>
      </w:r>
      <w:r w:rsidRPr="001F2B93">
        <w:rPr>
          <w:rFonts w:ascii="Calibri" w:eastAsia="Times New Roman" w:hAnsi="Calibri" w:cs="Times New Roman"/>
          <w:i/>
          <w:szCs w:val="24"/>
          <w:lang w:eastAsia="it-IT"/>
        </w:rPr>
        <w:t xml:space="preserve">Orientamenti all’identificazione e alla denominazione delle sostanze in ambito REACH e CLP (LG ECHA </w:t>
      </w:r>
      <w:proofErr w:type="gramStart"/>
      <w:r w:rsidRPr="001F2B93">
        <w:rPr>
          <w:rFonts w:ascii="Calibri" w:eastAsia="Times New Roman" w:hAnsi="Calibri" w:cs="Times New Roman"/>
          <w:i/>
          <w:szCs w:val="24"/>
          <w:lang w:eastAsia="it-IT"/>
        </w:rPr>
        <w:t>Maggio</w:t>
      </w:r>
      <w:proofErr w:type="gramEnd"/>
      <w:r w:rsidRPr="001F2B93">
        <w:rPr>
          <w:rFonts w:ascii="Calibri" w:eastAsia="Times New Roman" w:hAnsi="Calibri" w:cs="Times New Roman"/>
          <w:i/>
          <w:szCs w:val="24"/>
          <w:lang w:eastAsia="it-IT"/>
        </w:rPr>
        <w:t xml:space="preserve"> 2017 Versione 2.1)</w:t>
      </w:r>
    </w:p>
    <w:p w14:paraId="06B44383" w14:textId="6A43AD7C" w:rsidR="00E81C02" w:rsidRPr="001F2B93" w:rsidRDefault="00E81C02" w:rsidP="00E81C02">
      <w:pPr>
        <w:spacing w:before="80" w:after="120" w:line="264" w:lineRule="auto"/>
        <w:jc w:val="both"/>
        <w:rPr>
          <w:rFonts w:ascii="Calibri" w:eastAsia="Times New Roman" w:hAnsi="Calibri" w:cs="Arial"/>
          <w:i/>
          <w:lang w:eastAsia="it-IT"/>
        </w:rPr>
      </w:pPr>
      <w:r w:rsidRPr="085B2EC0">
        <w:rPr>
          <w:rFonts w:ascii="Calibri" w:eastAsia="Times New Roman" w:hAnsi="Calibri" w:cs="Arial"/>
          <w:i/>
          <w:iCs/>
          <w:lang w:eastAsia="it-IT"/>
        </w:rPr>
        <w:t xml:space="preserve">Linee guida: Orientamenti sugli obblighi per le sostanze presenti negli articoli </w:t>
      </w:r>
      <w:proofErr w:type="gramStart"/>
      <w:r w:rsidRPr="085B2EC0">
        <w:rPr>
          <w:rFonts w:ascii="Calibri" w:eastAsia="Times New Roman" w:hAnsi="Calibri" w:cs="Arial"/>
          <w:i/>
          <w:iCs/>
          <w:lang w:eastAsia="it-IT"/>
        </w:rPr>
        <w:t>Giugno</w:t>
      </w:r>
      <w:proofErr w:type="gramEnd"/>
      <w:r w:rsidRPr="085B2EC0">
        <w:rPr>
          <w:rFonts w:ascii="Calibri" w:eastAsia="Times New Roman" w:hAnsi="Calibri" w:cs="Arial"/>
          <w:i/>
          <w:iCs/>
          <w:lang w:eastAsia="it-IT"/>
        </w:rPr>
        <w:t xml:space="preserve"> 2017 Versione 4.0</w:t>
      </w:r>
    </w:p>
    <w:p w14:paraId="3242E254" w14:textId="03062926" w:rsidR="003D1F7D" w:rsidRPr="003D1F7D" w:rsidRDefault="003D1F7D"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Times New Roman"/>
          <w:i/>
          <w:iCs/>
          <w:color w:val="4472C4" w:themeColor="accent1"/>
          <w:lang w:eastAsia="it-IT"/>
        </w:rPr>
        <w:t>A</w:t>
      </w:r>
      <w:r w:rsidRPr="085B2EC0">
        <w:rPr>
          <w:rFonts w:ascii="Calibri" w:eastAsia="Times New Roman" w:hAnsi="Calibri" w:cs="Arial"/>
          <w:i/>
          <w:iCs/>
          <w:color w:val="4472C4" w:themeColor="accent1"/>
          <w:lang w:eastAsia="it-IT"/>
        </w:rPr>
        <w:t>llo scopo di valutare le disposizioni in materia di registrazione di materiali recuperati,</w:t>
      </w:r>
      <w:r w:rsidR="0012433F" w:rsidRPr="085B2EC0">
        <w:rPr>
          <w:rFonts w:ascii="Calibri" w:eastAsia="Times New Roman" w:hAnsi="Calibri" w:cs="Arial"/>
          <w:i/>
          <w:iCs/>
          <w:color w:val="4472C4" w:themeColor="accent1"/>
          <w:lang w:eastAsia="it-IT"/>
        </w:rPr>
        <w:t xml:space="preserve"> </w:t>
      </w:r>
      <w:r w:rsidRPr="085B2EC0">
        <w:rPr>
          <w:rFonts w:ascii="Calibri" w:eastAsia="Times New Roman" w:hAnsi="Calibri" w:cs="Arial"/>
          <w:i/>
          <w:iCs/>
          <w:color w:val="4472C4" w:themeColor="accent1"/>
          <w:lang w:eastAsia="it-IT"/>
        </w:rPr>
        <w:t xml:space="preserve">è essenziale identificare chiaramente se il particolare materiale è una sostanza in quanto tale, una miscela (contenente </w:t>
      </w:r>
      <w:proofErr w:type="gramStart"/>
      <w:r w:rsidRPr="085B2EC0">
        <w:rPr>
          <w:rFonts w:ascii="Calibri" w:eastAsia="Times New Roman" w:hAnsi="Calibri" w:cs="Arial"/>
          <w:i/>
          <w:iCs/>
          <w:color w:val="4472C4" w:themeColor="accent1"/>
          <w:lang w:eastAsia="it-IT"/>
        </w:rPr>
        <w:t>2</w:t>
      </w:r>
      <w:proofErr w:type="gramEnd"/>
      <w:r w:rsidRPr="085B2EC0">
        <w:rPr>
          <w:rFonts w:ascii="Calibri" w:eastAsia="Times New Roman" w:hAnsi="Calibri" w:cs="Arial"/>
          <w:i/>
          <w:iCs/>
          <w:color w:val="4472C4" w:themeColor="accent1"/>
          <w:lang w:eastAsia="it-IT"/>
        </w:rPr>
        <w:t xml:space="preserve"> o più sostanze miscelate) o un articolo. </w:t>
      </w:r>
    </w:p>
    <w:p w14:paraId="43C887FC" w14:textId="77777777" w:rsidR="00ED1686" w:rsidRPr="001F2B93" w:rsidRDefault="00ED1686" w:rsidP="001F2B93">
      <w:pPr>
        <w:autoSpaceDE w:val="0"/>
        <w:autoSpaceDN w:val="0"/>
        <w:adjustRightInd w:val="0"/>
        <w:spacing w:before="80" w:after="80" w:line="264" w:lineRule="auto"/>
        <w:rPr>
          <w:rFonts w:ascii="Calibri" w:eastAsia="Times New Roman" w:hAnsi="Calibri" w:cs="Times New Roman"/>
          <w:i/>
          <w:szCs w:val="24"/>
          <w:lang w:eastAsia="it-IT"/>
        </w:rPr>
      </w:pPr>
    </w:p>
    <w:bookmarkEnd w:id="11"/>
    <w:p w14:paraId="407DD771" w14:textId="34C9EE0D" w:rsidR="001F2B93" w:rsidRPr="00ED1686" w:rsidRDefault="00ED1686" w:rsidP="001F2B93">
      <w:pPr>
        <w:autoSpaceDE w:val="0"/>
        <w:autoSpaceDN w:val="0"/>
        <w:adjustRightInd w:val="0"/>
        <w:spacing w:before="80" w:after="80" w:line="264" w:lineRule="auto"/>
        <w:jc w:val="both"/>
        <w:rPr>
          <w:rFonts w:ascii="Calibri" w:eastAsia="Times New Roman" w:hAnsi="Calibri" w:cs="Times New Roman"/>
          <w:i/>
          <w:color w:val="538135" w:themeColor="accent6" w:themeShade="BF"/>
          <w:szCs w:val="24"/>
          <w:lang w:eastAsia="it-IT"/>
        </w:rPr>
      </w:pPr>
      <w:r w:rsidRPr="00BC2731">
        <w:rPr>
          <w:rFonts w:ascii="Calibri" w:eastAsia="Times New Roman" w:hAnsi="Calibri" w:cs="Times New Roman"/>
          <w:i/>
          <w:color w:val="4472C4" w:themeColor="accent1"/>
          <w:szCs w:val="24"/>
          <w:lang w:eastAsia="it-IT"/>
        </w:rPr>
        <w:t>È fondamentale identificare la composizione chimica, mineralogica, la presenza di impurezze e la tipologia di sostanza o miscela ai fini del REACH e CLP. Questo passaggio è indispensabile per la verifica degli adempimenti successivi. La definizione di sostanza monocomponente, multicomponente, UVCB o miscela deve fare riferimento alle definizioni e alle indicazioni previste nelle linee guida ECHA</w:t>
      </w:r>
      <w:r>
        <w:rPr>
          <w:rFonts w:ascii="Calibri" w:eastAsia="Times New Roman" w:hAnsi="Calibri" w:cs="Times New Roman"/>
          <w:i/>
          <w:color w:val="538135" w:themeColor="accent6" w:themeShade="BF"/>
          <w:szCs w:val="24"/>
          <w:lang w:eastAsia="it-IT"/>
        </w:rPr>
        <w:t>.</w:t>
      </w:r>
    </w:p>
    <w:p w14:paraId="01703176" w14:textId="77777777" w:rsidR="00ED1686" w:rsidRPr="001F2B93" w:rsidRDefault="00ED1686" w:rsidP="001F2B93">
      <w:pPr>
        <w:autoSpaceDE w:val="0"/>
        <w:autoSpaceDN w:val="0"/>
        <w:adjustRightInd w:val="0"/>
        <w:spacing w:before="80" w:after="80" w:line="264" w:lineRule="auto"/>
        <w:jc w:val="both"/>
        <w:rPr>
          <w:rFonts w:ascii="Calibri" w:eastAsia="Times New Roman" w:hAnsi="Calibri" w:cs="Times New Roman"/>
          <w:iCs/>
          <w:szCs w:val="24"/>
          <w:lang w:eastAsia="it-IT"/>
        </w:rPr>
      </w:pPr>
    </w:p>
    <w:p w14:paraId="08FC3CC7" w14:textId="11C69F02" w:rsidR="001040BC" w:rsidRPr="00BC2731" w:rsidRDefault="00825376" w:rsidP="001F2B93">
      <w:pPr>
        <w:spacing w:before="80" w:after="120" w:line="264" w:lineRule="auto"/>
        <w:jc w:val="both"/>
        <w:rPr>
          <w:rFonts w:ascii="Calibri" w:eastAsia="Times New Roman" w:hAnsi="Calibri" w:cs="Arial"/>
          <w:i/>
          <w:color w:val="4472C4" w:themeColor="accent1"/>
          <w:lang w:eastAsia="it-IT"/>
        </w:rPr>
      </w:pPr>
      <w:bookmarkStart w:id="14" w:name="_Hlk55995096"/>
      <w:bookmarkEnd w:id="14"/>
      <w:r w:rsidRPr="00BC2731">
        <w:rPr>
          <w:rFonts w:ascii="Calibri" w:eastAsia="Times New Roman" w:hAnsi="Calibri" w:cs="Arial"/>
          <w:i/>
          <w:color w:val="4472C4" w:themeColor="accent1"/>
          <w:lang w:eastAsia="it-IT"/>
        </w:rPr>
        <w:t>La definizione di sostanza, miscela o articolo è legata all’utilizzo specifico dell’EOW.</w:t>
      </w:r>
      <w:r w:rsidR="001040BC" w:rsidRPr="00BC2731">
        <w:rPr>
          <w:color w:val="4472C4" w:themeColor="accent1"/>
        </w:rPr>
        <w:t xml:space="preserve"> </w:t>
      </w:r>
      <w:r w:rsidR="001040BC" w:rsidRPr="00BC2731">
        <w:rPr>
          <w:rFonts w:ascii="Calibri" w:eastAsia="Times New Roman" w:hAnsi="Calibri" w:cs="Arial"/>
          <w:i/>
          <w:color w:val="4472C4" w:themeColor="accent1"/>
          <w:lang w:eastAsia="it-IT"/>
        </w:rPr>
        <w:t>Il regolamento REACH definisce un articolo come “un oggetto a cui sono dati, durante la produzione, una forma, una superficie o un disegno particolari che ne determinano la funzione in misura maggiore della sua composizione chimica”. Per definire questo aspetto nel dettaglio si ricorre alla linea guida ECHA.</w:t>
      </w:r>
    </w:p>
    <w:p w14:paraId="324B0174" w14:textId="77777777" w:rsidR="002273DD" w:rsidRDefault="002273DD" w:rsidP="002273DD">
      <w:pPr>
        <w:spacing w:before="80" w:after="120" w:line="264" w:lineRule="auto"/>
        <w:jc w:val="both"/>
        <w:rPr>
          <w:rFonts w:ascii="Calibri" w:eastAsia="Times New Roman" w:hAnsi="Calibri" w:cs="Arial"/>
          <w:b/>
          <w:bCs/>
          <w:i/>
          <w:iCs/>
          <w:color w:val="4472C4" w:themeColor="accent1"/>
          <w:lang w:eastAsia="it-IT"/>
        </w:rPr>
      </w:pPr>
    </w:p>
    <w:p w14:paraId="02837BD6" w14:textId="77777777" w:rsidR="002273DD" w:rsidRPr="004A27E4" w:rsidRDefault="002273DD" w:rsidP="002273DD">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15" w:name="_Toc126664567"/>
      <w:r w:rsidRPr="004A27E4">
        <w:rPr>
          <w:rFonts w:ascii="Calibri" w:eastAsia="Times New Roman" w:hAnsi="Calibri" w:cs="Times New Roman"/>
          <w:b/>
          <w:iCs/>
          <w:snapToGrid w:val="0"/>
          <w:sz w:val="24"/>
          <w:szCs w:val="20"/>
          <w:lang w:eastAsia="it-IT"/>
        </w:rPr>
        <w:t>REGISTRAZIONE – VALUTAZIONE DELLA SICUREZZA CHIMICA</w:t>
      </w:r>
      <w:bookmarkEnd w:id="15"/>
    </w:p>
    <w:p w14:paraId="0932792B" w14:textId="77777777" w:rsidR="002273DD" w:rsidRDefault="002273DD" w:rsidP="002273DD">
      <w:pPr>
        <w:rPr>
          <w:rFonts w:ascii="Calibri" w:eastAsia="Calibri" w:hAnsi="Calibri" w:cs="Times New Roman"/>
          <w:b/>
          <w:bCs/>
        </w:rPr>
      </w:pPr>
    </w:p>
    <w:p w14:paraId="705F117B" w14:textId="6DAC287B" w:rsidR="002273DD" w:rsidRPr="004A27E4" w:rsidRDefault="0012433F" w:rsidP="002273DD">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16" w:name="_Toc126664568"/>
      <w:r>
        <w:rPr>
          <w:rFonts w:ascii="Calibri" w:eastAsia="Times New Roman" w:hAnsi="Calibri" w:cs="Times New Roman"/>
          <w:b/>
          <w:iCs/>
          <w:snapToGrid w:val="0"/>
          <w:sz w:val="24"/>
          <w:szCs w:val="20"/>
          <w:lang w:eastAsia="it-IT"/>
        </w:rPr>
        <w:t>2</w:t>
      </w:r>
      <w:r w:rsidR="002273DD" w:rsidRPr="004A27E4">
        <w:rPr>
          <w:rFonts w:ascii="Calibri" w:eastAsia="Times New Roman" w:hAnsi="Calibri" w:cs="Times New Roman"/>
          <w:b/>
          <w:iCs/>
          <w:snapToGrid w:val="0"/>
          <w:sz w:val="24"/>
          <w:szCs w:val="20"/>
          <w:lang w:eastAsia="it-IT"/>
        </w:rPr>
        <w:t>- Registrazione</w:t>
      </w:r>
      <w:bookmarkEnd w:id="16"/>
    </w:p>
    <w:p w14:paraId="0A2E88A0" w14:textId="77777777" w:rsidR="002273DD" w:rsidRPr="001F2B93" w:rsidRDefault="002273DD" w:rsidP="002273DD">
      <w:pPr>
        <w:rPr>
          <w:rFonts w:ascii="Calibri" w:eastAsia="Calibri" w:hAnsi="Calibri" w:cs="Times New Roman"/>
          <w:i/>
          <w:iCs/>
        </w:rPr>
      </w:pPr>
      <w:r w:rsidRPr="001F2B93">
        <w:rPr>
          <w:rFonts w:ascii="Calibri" w:eastAsia="Calibri" w:hAnsi="Calibri" w:cs="Times New Roman"/>
          <w:i/>
          <w:iCs/>
        </w:rPr>
        <w:t>Riferimenti: art. 6 (1), art. 2 (7) b)</w:t>
      </w:r>
      <w:r>
        <w:rPr>
          <w:rFonts w:ascii="Calibri" w:eastAsia="Calibri" w:hAnsi="Calibri" w:cs="Times New Roman"/>
          <w:i/>
          <w:iCs/>
        </w:rPr>
        <w:t xml:space="preserve"> c) d) Regolamento REACH</w:t>
      </w:r>
    </w:p>
    <w:p w14:paraId="363C0A83" w14:textId="05D86E04" w:rsidR="002273DD" w:rsidRPr="001F2B93" w:rsidRDefault="002273DD" w:rsidP="085B2EC0">
      <w:pPr>
        <w:jc w:val="both"/>
        <w:rPr>
          <w:rFonts w:ascii="Calibri" w:eastAsia="Calibri" w:hAnsi="Calibri" w:cs="Times New Roman"/>
          <w:i/>
          <w:iCs/>
        </w:rPr>
      </w:pPr>
      <w:r w:rsidRPr="085B2EC0">
        <w:rPr>
          <w:rFonts w:ascii="Calibri" w:eastAsia="Calibri" w:hAnsi="Calibri" w:cs="Times New Roman"/>
          <w:i/>
          <w:iCs/>
        </w:rPr>
        <w:t>Linee guida: Guida alla registrazione novembre 2016 versione 3.0,</w:t>
      </w:r>
      <w:r w:rsidRPr="085B2EC0">
        <w:rPr>
          <w:rFonts w:ascii="Calibri" w:eastAsia="Times New Roman" w:hAnsi="Calibri" w:cs="Times New Roman"/>
          <w:lang w:eastAsia="it-IT"/>
        </w:rPr>
        <w:t xml:space="preserve"> </w:t>
      </w:r>
      <w:r w:rsidRPr="085B2EC0">
        <w:rPr>
          <w:rFonts w:ascii="Calibri" w:eastAsia="Calibri" w:hAnsi="Calibri" w:cs="Times New Roman"/>
          <w:i/>
          <w:iCs/>
        </w:rPr>
        <w:t>Guida all’allegato V Esenzioni dall’obbligo di registrazione</w:t>
      </w:r>
      <w:r w:rsidRPr="085B2EC0">
        <w:rPr>
          <w:rFonts w:ascii="Calibri" w:eastAsia="Times New Roman" w:hAnsi="Calibri" w:cs="Times New Roman"/>
          <w:lang w:eastAsia="it-IT"/>
        </w:rPr>
        <w:t xml:space="preserve"> </w:t>
      </w:r>
      <w:r w:rsidRPr="085B2EC0">
        <w:rPr>
          <w:rFonts w:ascii="Calibri" w:eastAsia="Calibri" w:hAnsi="Calibri" w:cs="Times New Roman"/>
          <w:i/>
          <w:iCs/>
        </w:rPr>
        <w:t>Versione: 1.</w:t>
      </w:r>
      <w:proofErr w:type="gramStart"/>
      <w:r w:rsidRPr="085B2EC0">
        <w:rPr>
          <w:rFonts w:ascii="Calibri" w:eastAsia="Calibri" w:hAnsi="Calibri" w:cs="Times New Roman"/>
          <w:i/>
          <w:iCs/>
        </w:rPr>
        <w:t>1</w:t>
      </w:r>
      <w:r w:rsidR="2DCF0555" w:rsidRPr="085B2EC0">
        <w:rPr>
          <w:rFonts w:ascii="Calibri" w:eastAsia="Calibri" w:hAnsi="Calibri" w:cs="Times New Roman"/>
          <w:i/>
          <w:iCs/>
        </w:rPr>
        <w:t xml:space="preserve"> </w:t>
      </w:r>
      <w:r w:rsidRPr="085B2EC0">
        <w:rPr>
          <w:rFonts w:ascii="Calibri" w:eastAsia="Calibri" w:hAnsi="Calibri" w:cs="Times New Roman"/>
          <w:i/>
          <w:iCs/>
        </w:rPr>
        <w:t>Novembre</w:t>
      </w:r>
      <w:proofErr w:type="gramEnd"/>
      <w:r w:rsidRPr="085B2EC0">
        <w:rPr>
          <w:rFonts w:ascii="Calibri" w:eastAsia="Calibri" w:hAnsi="Calibri" w:cs="Times New Roman"/>
          <w:i/>
          <w:iCs/>
        </w:rPr>
        <w:t xml:space="preserve"> 2012 Guida all’allegato V Esenzioni dall’obbligo di registrazione</w:t>
      </w:r>
      <w:r w:rsidR="12D26DC2" w:rsidRPr="085B2EC0">
        <w:rPr>
          <w:rFonts w:ascii="Calibri" w:eastAsia="Calibri" w:hAnsi="Calibri" w:cs="Times New Roman"/>
          <w:i/>
          <w:iCs/>
        </w:rPr>
        <w:t>.</w:t>
      </w:r>
    </w:p>
    <w:p w14:paraId="386C19C2" w14:textId="77777777" w:rsidR="002273DD" w:rsidRPr="00BC2731" w:rsidRDefault="002273DD" w:rsidP="002273DD">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 xml:space="preserve">Questo aspetto è delicato, può essere semplice se la sostanza è inclusa nell’allegato IV o V del REACH, diventa più complicato se bisogna dimostrare la </w:t>
      </w:r>
      <w:proofErr w:type="spellStart"/>
      <w:r w:rsidRPr="00BC2731">
        <w:rPr>
          <w:rFonts w:ascii="Calibri" w:eastAsia="Times New Roman" w:hAnsi="Calibri" w:cs="Arial"/>
          <w:i/>
          <w:color w:val="4472C4" w:themeColor="accent1"/>
          <w:lang w:eastAsia="it-IT"/>
        </w:rPr>
        <w:t>sameness</w:t>
      </w:r>
      <w:proofErr w:type="spellEnd"/>
      <w:r w:rsidRPr="00BC2731">
        <w:rPr>
          <w:rFonts w:ascii="Calibri" w:eastAsia="Times New Roman" w:hAnsi="Calibri" w:cs="Arial"/>
          <w:i/>
          <w:color w:val="4472C4" w:themeColor="accent1"/>
          <w:lang w:eastAsia="it-IT"/>
        </w:rPr>
        <w:t xml:space="preserve"> per l’articolo 2(7) d. Se è necessaria la registrazione, la mancata registrazione rende l’utilizzo non legale del EOW ed è sanzionabile.</w:t>
      </w:r>
    </w:p>
    <w:p w14:paraId="2624FCF9" w14:textId="77777777" w:rsidR="002273DD" w:rsidRPr="00BC2731" w:rsidRDefault="002273DD" w:rsidP="002273DD">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La registrazione di sostanze contenute in articoli è richiesta quando sono soddisfatte tutte le condizioni di cui all’articolo 7, paragrafo 1, del regolamento REACH:</w:t>
      </w:r>
    </w:p>
    <w:p w14:paraId="74099998" w14:textId="4A2E09A8" w:rsidR="002273DD" w:rsidRPr="00BC2731" w:rsidRDefault="002273DD"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la sostanza è destinata a essere rilasciata in condizioni d’uso normali o ragionevolmente prevedibili</w:t>
      </w:r>
      <w:r w:rsidR="6BF2E77C" w:rsidRPr="085B2EC0">
        <w:rPr>
          <w:rFonts w:ascii="Calibri" w:eastAsia="Times New Roman" w:hAnsi="Calibri" w:cs="Arial"/>
          <w:i/>
          <w:iCs/>
          <w:color w:val="4472C4" w:themeColor="accent1"/>
          <w:lang w:eastAsia="it-IT"/>
        </w:rPr>
        <w:t>;</w:t>
      </w:r>
    </w:p>
    <w:p w14:paraId="2F5664D0" w14:textId="1E7B21D1" w:rsidR="002273DD" w:rsidRPr="00BC2731" w:rsidRDefault="002273DD"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la quantità complessiva della sostanza presente in tutti gli articoli con rilascio intenzionale (ossia anche i quantitativi che non sono destinati a essere rilasciati) prodotta o importata da un attore supera 1 tonnellata all’anno</w:t>
      </w:r>
      <w:r w:rsidR="0D2177EE" w:rsidRPr="085B2EC0">
        <w:rPr>
          <w:rFonts w:ascii="Calibri" w:eastAsia="Times New Roman" w:hAnsi="Calibri" w:cs="Arial"/>
          <w:i/>
          <w:iCs/>
          <w:color w:val="4472C4" w:themeColor="accent1"/>
          <w:lang w:eastAsia="it-IT"/>
        </w:rPr>
        <w:t>;</w:t>
      </w:r>
    </w:p>
    <w:p w14:paraId="20665E80" w14:textId="77777777" w:rsidR="002273DD" w:rsidRPr="00BC2731" w:rsidRDefault="002273DD" w:rsidP="002273DD">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 xml:space="preserve">Sono sanzionabili secondo il </w:t>
      </w:r>
      <w:proofErr w:type="spellStart"/>
      <w:r w:rsidRPr="00BC2731">
        <w:rPr>
          <w:rFonts w:ascii="Calibri" w:eastAsia="Times New Roman" w:hAnsi="Calibri" w:cs="Arial"/>
          <w:i/>
          <w:color w:val="4472C4" w:themeColor="accent1"/>
          <w:lang w:eastAsia="it-IT"/>
        </w:rPr>
        <w:t>D.lgs</w:t>
      </w:r>
      <w:proofErr w:type="spellEnd"/>
      <w:r w:rsidRPr="00BC2731">
        <w:rPr>
          <w:rFonts w:ascii="Calibri" w:eastAsia="Times New Roman" w:hAnsi="Calibri" w:cs="Arial"/>
          <w:i/>
          <w:color w:val="4472C4" w:themeColor="accent1"/>
          <w:lang w:eastAsia="it-IT"/>
        </w:rPr>
        <w:t xml:space="preserve"> 133/2009 art. 3:</w:t>
      </w:r>
    </w:p>
    <w:p w14:paraId="12440D4C" w14:textId="5DD92A5A" w:rsidR="002273DD" w:rsidRPr="00BC2731" w:rsidRDefault="002273DD" w:rsidP="085B2EC0">
      <w:pPr>
        <w:pStyle w:val="Paragrafoelenco"/>
        <w:numPr>
          <w:ilvl w:val="0"/>
          <w:numId w:val="18"/>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Mancata registrazione da parte del </w:t>
      </w:r>
      <w:proofErr w:type="spellStart"/>
      <w:r w:rsidRPr="085B2EC0">
        <w:rPr>
          <w:rFonts w:ascii="Calibri" w:eastAsia="Times New Roman" w:hAnsi="Calibri" w:cs="Arial"/>
          <w:i/>
          <w:iCs/>
          <w:color w:val="4472C4" w:themeColor="accent1"/>
          <w:lang w:eastAsia="it-IT"/>
        </w:rPr>
        <w:t>Fabb</w:t>
      </w:r>
      <w:proofErr w:type="spellEnd"/>
      <w:r w:rsidRPr="085B2EC0">
        <w:rPr>
          <w:rFonts w:ascii="Calibri" w:eastAsia="Times New Roman" w:hAnsi="Calibri" w:cs="Arial"/>
          <w:i/>
          <w:iCs/>
          <w:color w:val="4472C4" w:themeColor="accent1"/>
          <w:lang w:eastAsia="it-IT"/>
        </w:rPr>
        <w:t>/</w:t>
      </w:r>
      <w:proofErr w:type="spellStart"/>
      <w:r w:rsidRPr="085B2EC0">
        <w:rPr>
          <w:rFonts w:ascii="Calibri" w:eastAsia="Times New Roman" w:hAnsi="Calibri" w:cs="Arial"/>
          <w:i/>
          <w:iCs/>
          <w:color w:val="4472C4" w:themeColor="accent1"/>
          <w:lang w:eastAsia="it-IT"/>
        </w:rPr>
        <w:t>Imp</w:t>
      </w:r>
      <w:proofErr w:type="spellEnd"/>
      <w:r w:rsidRPr="085B2EC0">
        <w:rPr>
          <w:rFonts w:ascii="Calibri" w:eastAsia="Times New Roman" w:hAnsi="Calibri" w:cs="Arial"/>
          <w:i/>
          <w:iCs/>
          <w:color w:val="4472C4" w:themeColor="accent1"/>
          <w:lang w:eastAsia="it-IT"/>
        </w:rPr>
        <w:t>/OR: sostanza &gt;1T/anno, monomeri utilizzati come intermedi isolati in sito o trasportati: €15.000 - 90.000</w:t>
      </w:r>
      <w:r w:rsidR="55554EB9" w:rsidRPr="085B2EC0">
        <w:rPr>
          <w:rFonts w:ascii="Calibri" w:eastAsia="Times New Roman" w:hAnsi="Calibri" w:cs="Arial"/>
          <w:i/>
          <w:iCs/>
          <w:color w:val="4472C4" w:themeColor="accent1"/>
          <w:lang w:eastAsia="it-IT"/>
        </w:rPr>
        <w:t>;</w:t>
      </w:r>
    </w:p>
    <w:p w14:paraId="57BEEA4F" w14:textId="148AF7B0" w:rsidR="002273DD" w:rsidRPr="00BC2731" w:rsidRDefault="002273DD" w:rsidP="085B2EC0">
      <w:pPr>
        <w:pStyle w:val="Paragrafoelenco"/>
        <w:numPr>
          <w:ilvl w:val="0"/>
          <w:numId w:val="18"/>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Mancata registrazione da parte del </w:t>
      </w:r>
      <w:proofErr w:type="spellStart"/>
      <w:r w:rsidRPr="085B2EC0">
        <w:rPr>
          <w:rFonts w:ascii="Calibri" w:eastAsia="Times New Roman" w:hAnsi="Calibri" w:cs="Arial"/>
          <w:i/>
          <w:iCs/>
          <w:color w:val="4472C4" w:themeColor="accent1"/>
          <w:lang w:eastAsia="it-IT"/>
        </w:rPr>
        <w:t>Fabb</w:t>
      </w:r>
      <w:proofErr w:type="spellEnd"/>
      <w:r w:rsidRPr="085B2EC0">
        <w:rPr>
          <w:rFonts w:ascii="Calibri" w:eastAsia="Times New Roman" w:hAnsi="Calibri" w:cs="Arial"/>
          <w:i/>
          <w:iCs/>
          <w:color w:val="4472C4" w:themeColor="accent1"/>
          <w:lang w:eastAsia="it-IT"/>
        </w:rPr>
        <w:t>/</w:t>
      </w:r>
      <w:proofErr w:type="spellStart"/>
      <w:r w:rsidRPr="085B2EC0">
        <w:rPr>
          <w:rFonts w:ascii="Calibri" w:eastAsia="Times New Roman" w:hAnsi="Calibri" w:cs="Arial"/>
          <w:i/>
          <w:iCs/>
          <w:color w:val="4472C4" w:themeColor="accent1"/>
          <w:lang w:eastAsia="it-IT"/>
        </w:rPr>
        <w:t>Imp</w:t>
      </w:r>
      <w:proofErr w:type="spellEnd"/>
      <w:r w:rsidRPr="085B2EC0">
        <w:rPr>
          <w:rFonts w:ascii="Calibri" w:eastAsia="Times New Roman" w:hAnsi="Calibri" w:cs="Arial"/>
          <w:i/>
          <w:iCs/>
          <w:color w:val="4472C4" w:themeColor="accent1"/>
          <w:lang w:eastAsia="it-IT"/>
        </w:rPr>
        <w:t>/OR di un polimero per la sostanza monomerica non registrata a monte: €15.000 - 90.000</w:t>
      </w:r>
      <w:r w:rsidR="47C0E196" w:rsidRPr="085B2EC0">
        <w:rPr>
          <w:rFonts w:ascii="Calibri" w:eastAsia="Times New Roman" w:hAnsi="Calibri" w:cs="Arial"/>
          <w:i/>
          <w:iCs/>
          <w:color w:val="4472C4" w:themeColor="accent1"/>
          <w:lang w:eastAsia="it-IT"/>
        </w:rPr>
        <w:t>;</w:t>
      </w:r>
    </w:p>
    <w:p w14:paraId="522FC066" w14:textId="1B97AD4D" w:rsidR="002273DD" w:rsidRPr="00BC2731" w:rsidRDefault="002273DD" w:rsidP="085B2EC0">
      <w:pPr>
        <w:pStyle w:val="Paragrafoelenco"/>
        <w:numPr>
          <w:ilvl w:val="0"/>
          <w:numId w:val="18"/>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Mancata registrazione “semplificata” di intermedi isolati (in sito o trasportati): € 10.000 - 60.000</w:t>
      </w:r>
      <w:r w:rsidR="1899EA36" w:rsidRPr="085B2EC0">
        <w:rPr>
          <w:rFonts w:ascii="Calibri" w:eastAsia="Times New Roman" w:hAnsi="Calibri" w:cs="Arial"/>
          <w:i/>
          <w:iCs/>
          <w:color w:val="4472C4" w:themeColor="accent1"/>
          <w:lang w:eastAsia="it-IT"/>
        </w:rPr>
        <w:t>;</w:t>
      </w:r>
    </w:p>
    <w:p w14:paraId="0CF4F1E2" w14:textId="03A3418B" w:rsidR="002273DD" w:rsidRPr="00BC2731" w:rsidRDefault="002273DD" w:rsidP="085B2EC0">
      <w:pPr>
        <w:pStyle w:val="Paragrafoelenco"/>
        <w:numPr>
          <w:ilvl w:val="0"/>
          <w:numId w:val="18"/>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Mancata registrazione di sostanza in articoli (&gt;1T/anno e rilascio intenzionale) €15.000 - 90.000</w:t>
      </w:r>
      <w:r w:rsidR="1F3FC179" w:rsidRPr="085B2EC0">
        <w:rPr>
          <w:rFonts w:ascii="Calibri" w:eastAsia="Times New Roman" w:hAnsi="Calibri" w:cs="Arial"/>
          <w:i/>
          <w:iCs/>
          <w:color w:val="4472C4" w:themeColor="accent1"/>
          <w:lang w:eastAsia="it-IT"/>
        </w:rPr>
        <w:t>.</w:t>
      </w:r>
    </w:p>
    <w:p w14:paraId="2BF02300" w14:textId="77777777" w:rsidR="002273DD" w:rsidRDefault="002273DD" w:rsidP="002273DD">
      <w:pPr>
        <w:spacing w:before="80" w:after="120" w:line="264" w:lineRule="auto"/>
        <w:jc w:val="both"/>
        <w:rPr>
          <w:rFonts w:ascii="Calibri" w:eastAsia="Calibri" w:hAnsi="Calibri" w:cs="Times New Roman"/>
          <w:i/>
          <w:color w:val="FF0000"/>
          <w:u w:val="single"/>
        </w:rPr>
      </w:pPr>
    </w:p>
    <w:p w14:paraId="1CE469CE" w14:textId="23B3ECB7" w:rsidR="0012433F" w:rsidRPr="004A27E4" w:rsidRDefault="002F3D40" w:rsidP="0012433F">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17" w:name="_Toc126664569"/>
      <w:r>
        <w:rPr>
          <w:rFonts w:ascii="Calibri" w:eastAsia="Times New Roman" w:hAnsi="Calibri" w:cs="Times New Roman"/>
          <w:b/>
          <w:iCs/>
          <w:snapToGrid w:val="0"/>
          <w:sz w:val="24"/>
          <w:szCs w:val="20"/>
          <w:lang w:eastAsia="it-IT"/>
        </w:rPr>
        <w:lastRenderedPageBreak/>
        <w:t>3</w:t>
      </w:r>
      <w:r w:rsidR="0012433F" w:rsidRPr="004A27E4">
        <w:rPr>
          <w:rFonts w:ascii="Calibri" w:eastAsia="Times New Roman" w:hAnsi="Calibri" w:cs="Times New Roman"/>
          <w:b/>
          <w:iCs/>
          <w:snapToGrid w:val="0"/>
          <w:sz w:val="24"/>
          <w:szCs w:val="20"/>
          <w:lang w:eastAsia="it-IT"/>
        </w:rPr>
        <w:t>-Esenzione dalla registrazione motivazione</w:t>
      </w:r>
      <w:bookmarkEnd w:id="17"/>
    </w:p>
    <w:p w14:paraId="01BBBEA9" w14:textId="77777777" w:rsidR="0012433F" w:rsidRPr="003D1F7D" w:rsidRDefault="0012433F" w:rsidP="0012433F">
      <w:pPr>
        <w:spacing w:line="256" w:lineRule="auto"/>
        <w:rPr>
          <w:i/>
          <w:iCs/>
          <w:lang w:val="en-US"/>
        </w:rPr>
      </w:pPr>
      <w:r w:rsidRPr="00824D6C">
        <w:rPr>
          <w:rFonts w:ascii="Calibri" w:eastAsia="Calibri" w:hAnsi="Calibri" w:cs="Times New Roman"/>
          <w:i/>
          <w:iCs/>
        </w:rPr>
        <w:t xml:space="preserve">Riferimenti: art. 2 (7) (a) </w:t>
      </w:r>
      <w:proofErr w:type="spellStart"/>
      <w:r w:rsidRPr="00824D6C">
        <w:rPr>
          <w:rFonts w:ascii="Calibri" w:eastAsia="Calibri" w:hAnsi="Calibri" w:cs="Times New Roman"/>
          <w:i/>
          <w:iCs/>
        </w:rPr>
        <w:t>All</w:t>
      </w:r>
      <w:proofErr w:type="spellEnd"/>
      <w:r w:rsidRPr="00824D6C">
        <w:rPr>
          <w:rFonts w:ascii="Calibri" w:eastAsia="Calibri" w:hAnsi="Calibri" w:cs="Times New Roman"/>
          <w:i/>
          <w:iCs/>
        </w:rPr>
        <w:t xml:space="preserve">. </w:t>
      </w:r>
      <w:r w:rsidRPr="003D1F7D">
        <w:rPr>
          <w:rFonts w:ascii="Calibri" w:eastAsia="Calibri" w:hAnsi="Calibri" w:cs="Times New Roman"/>
          <w:i/>
          <w:iCs/>
          <w:lang w:val="en-US"/>
        </w:rPr>
        <w:t>IV, art. 2 (7) (b) All. V, art. 2 (7) (d)</w:t>
      </w:r>
      <w:r w:rsidRPr="003D1F7D">
        <w:rPr>
          <w:i/>
          <w:iCs/>
          <w:lang w:val="en-US"/>
        </w:rPr>
        <w:t xml:space="preserve"> </w:t>
      </w:r>
      <w:proofErr w:type="spellStart"/>
      <w:r w:rsidRPr="003D1F7D">
        <w:rPr>
          <w:i/>
          <w:iCs/>
          <w:lang w:val="en-US"/>
        </w:rPr>
        <w:t>Regolamento</w:t>
      </w:r>
      <w:proofErr w:type="spellEnd"/>
      <w:r w:rsidRPr="003D1F7D">
        <w:rPr>
          <w:i/>
          <w:iCs/>
          <w:lang w:val="en-US"/>
        </w:rPr>
        <w:t xml:space="preserve"> REACH</w:t>
      </w:r>
    </w:p>
    <w:p w14:paraId="1A8DFD10" w14:textId="01C78058" w:rsidR="0012433F" w:rsidRPr="003A02DB" w:rsidRDefault="0012433F" w:rsidP="0012433F">
      <w:pPr>
        <w:spacing w:before="80" w:after="120" w:line="264" w:lineRule="auto"/>
        <w:jc w:val="both"/>
        <w:rPr>
          <w:color w:val="4472C4" w:themeColor="accent1"/>
        </w:rPr>
      </w:pPr>
      <w:r w:rsidRPr="085B2EC0">
        <w:rPr>
          <w:rFonts w:ascii="Calibri" w:eastAsia="Times New Roman" w:hAnsi="Calibri" w:cs="Arial"/>
          <w:i/>
          <w:iCs/>
          <w:color w:val="4472C4" w:themeColor="accent1"/>
          <w:lang w:eastAsia="it-IT"/>
        </w:rPr>
        <w:t>La documentazione (disponibile in azienda) a supporto deve darne l’evidenza oggettiva</w:t>
      </w:r>
      <w:r w:rsidR="23B3D65B" w:rsidRPr="085B2EC0">
        <w:rPr>
          <w:rFonts w:ascii="Calibri" w:eastAsia="Times New Roman" w:hAnsi="Calibri" w:cs="Arial"/>
          <w:i/>
          <w:iCs/>
          <w:color w:val="4472C4" w:themeColor="accent1"/>
          <w:lang w:eastAsia="it-IT"/>
        </w:rPr>
        <w:t>.</w:t>
      </w:r>
    </w:p>
    <w:p w14:paraId="543213F9" w14:textId="77777777" w:rsidR="0012433F" w:rsidRPr="001040BC" w:rsidRDefault="0012433F" w:rsidP="0012433F">
      <w:pPr>
        <w:jc w:val="both"/>
        <w:rPr>
          <w:rFonts w:ascii="Calibri" w:eastAsia="Calibri" w:hAnsi="Calibri" w:cs="Times New Roman"/>
          <w:i/>
          <w:iCs/>
          <w:color w:val="538135" w:themeColor="accent6" w:themeShade="BF"/>
        </w:rPr>
      </w:pPr>
    </w:p>
    <w:p w14:paraId="20351B0A" w14:textId="64489957" w:rsidR="0012433F" w:rsidRPr="004A27E4" w:rsidRDefault="002F3D40" w:rsidP="0012433F">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18" w:name="_Toc126664570"/>
      <w:r>
        <w:rPr>
          <w:rFonts w:ascii="Calibri" w:eastAsia="Times New Roman" w:hAnsi="Calibri" w:cs="Times New Roman"/>
          <w:b/>
          <w:iCs/>
          <w:snapToGrid w:val="0"/>
          <w:sz w:val="24"/>
          <w:szCs w:val="20"/>
          <w:lang w:eastAsia="it-IT"/>
        </w:rPr>
        <w:t>4</w:t>
      </w:r>
      <w:r w:rsidR="0012433F" w:rsidRPr="004A27E4">
        <w:rPr>
          <w:rFonts w:ascii="Calibri" w:eastAsia="Times New Roman" w:hAnsi="Calibri" w:cs="Times New Roman"/>
          <w:b/>
          <w:iCs/>
          <w:snapToGrid w:val="0"/>
          <w:sz w:val="24"/>
          <w:szCs w:val="20"/>
          <w:lang w:eastAsia="it-IT"/>
        </w:rPr>
        <w:t xml:space="preserve">- Valutazione della sicurezza chimica (CSA - Chemical </w:t>
      </w:r>
      <w:proofErr w:type="spellStart"/>
      <w:r w:rsidR="0012433F" w:rsidRPr="004A27E4">
        <w:rPr>
          <w:rFonts w:ascii="Calibri" w:eastAsia="Times New Roman" w:hAnsi="Calibri" w:cs="Times New Roman"/>
          <w:b/>
          <w:iCs/>
          <w:snapToGrid w:val="0"/>
          <w:sz w:val="24"/>
          <w:szCs w:val="20"/>
          <w:lang w:eastAsia="it-IT"/>
        </w:rPr>
        <w:t>Safety</w:t>
      </w:r>
      <w:proofErr w:type="spellEnd"/>
      <w:r w:rsidR="0012433F" w:rsidRPr="004A27E4">
        <w:rPr>
          <w:rFonts w:ascii="Calibri" w:eastAsia="Times New Roman" w:hAnsi="Calibri" w:cs="Times New Roman"/>
          <w:b/>
          <w:iCs/>
          <w:snapToGrid w:val="0"/>
          <w:sz w:val="24"/>
          <w:szCs w:val="20"/>
          <w:lang w:eastAsia="it-IT"/>
        </w:rPr>
        <w:t xml:space="preserve"> </w:t>
      </w:r>
      <w:proofErr w:type="spellStart"/>
      <w:r w:rsidR="0012433F" w:rsidRPr="004A27E4">
        <w:rPr>
          <w:rFonts w:ascii="Calibri" w:eastAsia="Times New Roman" w:hAnsi="Calibri" w:cs="Times New Roman"/>
          <w:b/>
          <w:iCs/>
          <w:snapToGrid w:val="0"/>
          <w:sz w:val="24"/>
          <w:szCs w:val="20"/>
          <w:lang w:eastAsia="it-IT"/>
        </w:rPr>
        <w:t>Assessment</w:t>
      </w:r>
      <w:proofErr w:type="spellEnd"/>
      <w:r w:rsidR="0012433F" w:rsidRPr="004A27E4">
        <w:rPr>
          <w:rFonts w:ascii="Calibri" w:eastAsia="Times New Roman" w:hAnsi="Calibri" w:cs="Times New Roman"/>
          <w:b/>
          <w:iCs/>
          <w:snapToGrid w:val="0"/>
          <w:sz w:val="24"/>
          <w:szCs w:val="20"/>
          <w:lang w:eastAsia="it-IT"/>
        </w:rPr>
        <w:t>)</w:t>
      </w:r>
      <w:bookmarkEnd w:id="18"/>
    </w:p>
    <w:p w14:paraId="305B1178" w14:textId="77777777" w:rsidR="0012433F" w:rsidRPr="001F2B93" w:rsidRDefault="0012433F" w:rsidP="0012433F">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 xml:space="preserve">Riferimenti: </w:t>
      </w:r>
      <w:r>
        <w:rPr>
          <w:rFonts w:ascii="Calibri" w:eastAsia="Times New Roman" w:hAnsi="Calibri" w:cs="Arial"/>
          <w:i/>
          <w:lang w:eastAsia="it-IT"/>
        </w:rPr>
        <w:t>a</w:t>
      </w:r>
      <w:r w:rsidRPr="001F2B93">
        <w:rPr>
          <w:rFonts w:ascii="Calibri" w:eastAsia="Times New Roman" w:hAnsi="Calibri" w:cs="Arial"/>
          <w:i/>
          <w:lang w:eastAsia="it-IT"/>
        </w:rPr>
        <w:t>rt. 14 REACH</w:t>
      </w:r>
    </w:p>
    <w:p w14:paraId="30BA0355" w14:textId="77777777" w:rsidR="0012433F" w:rsidRPr="001F2B93" w:rsidRDefault="0012433F" w:rsidP="0012433F">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Linee guida: Guida alle prescrizioni in materia di informazione e alla valutazione della sicurezza chimica</w:t>
      </w:r>
    </w:p>
    <w:p w14:paraId="6B1EAC71" w14:textId="77777777" w:rsidR="0012433F" w:rsidRPr="001F2B93" w:rsidRDefault="0012433F" w:rsidP="0012433F">
      <w:pPr>
        <w:spacing w:before="80" w:after="120" w:line="264" w:lineRule="auto"/>
        <w:jc w:val="both"/>
        <w:rPr>
          <w:rFonts w:ascii="Calibri" w:eastAsia="Times New Roman" w:hAnsi="Calibri" w:cs="Arial"/>
          <w:i/>
          <w:lang w:eastAsia="it-IT"/>
        </w:rPr>
      </w:pPr>
      <w:hyperlink r:id="rId11" w:history="1">
        <w:r w:rsidRPr="001F2B93">
          <w:rPr>
            <w:rFonts w:ascii="Calibri" w:eastAsia="Times New Roman" w:hAnsi="Calibri" w:cs="Arial"/>
            <w:i/>
            <w:color w:val="0000FF"/>
            <w:u w:val="single"/>
            <w:lang w:eastAsia="it-IT"/>
          </w:rPr>
          <w:t>https://echa.europa.eu/it/guidance-documents/guidance-on-information-requirements-and-chemical-safety-assessment</w:t>
        </w:r>
      </w:hyperlink>
    </w:p>
    <w:p w14:paraId="12CA5FB8" w14:textId="77777777" w:rsidR="0012433F" w:rsidRPr="00BC2731" w:rsidRDefault="0012433F" w:rsidP="0012433F">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 xml:space="preserve">Questa valutazione è effettuata solo nel caso di registrazione e per quantitativo pari o maggiori delle </w:t>
      </w:r>
      <w:proofErr w:type="gramStart"/>
      <w:r w:rsidRPr="00BC2731">
        <w:rPr>
          <w:rFonts w:ascii="Calibri" w:eastAsia="Times New Roman" w:hAnsi="Calibri" w:cs="Arial"/>
          <w:i/>
          <w:color w:val="4472C4" w:themeColor="accent1"/>
          <w:lang w:eastAsia="it-IT"/>
        </w:rPr>
        <w:t>10</w:t>
      </w:r>
      <w:proofErr w:type="gramEnd"/>
      <w:r w:rsidRPr="00BC2731">
        <w:rPr>
          <w:rFonts w:ascii="Calibri" w:eastAsia="Times New Roman" w:hAnsi="Calibri" w:cs="Arial"/>
          <w:i/>
          <w:color w:val="4472C4" w:themeColor="accent1"/>
          <w:lang w:eastAsia="it-IT"/>
        </w:rPr>
        <w:t xml:space="preserve"> ton/anno.</w:t>
      </w:r>
    </w:p>
    <w:p w14:paraId="78C6C246" w14:textId="77777777" w:rsidR="0012433F" w:rsidRPr="00BC2731" w:rsidRDefault="0012433F" w:rsidP="0012433F">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 xml:space="preserve">Sono sanzionabili secondo il </w:t>
      </w:r>
      <w:proofErr w:type="spellStart"/>
      <w:r w:rsidRPr="00BC2731">
        <w:rPr>
          <w:rFonts w:ascii="Calibri" w:eastAsia="Times New Roman" w:hAnsi="Calibri" w:cs="Arial"/>
          <w:i/>
          <w:color w:val="4472C4" w:themeColor="accent1"/>
          <w:lang w:eastAsia="it-IT"/>
        </w:rPr>
        <w:t>D.lgs</w:t>
      </w:r>
      <w:proofErr w:type="spellEnd"/>
      <w:r w:rsidRPr="00BC2731">
        <w:rPr>
          <w:rFonts w:ascii="Calibri" w:eastAsia="Times New Roman" w:hAnsi="Calibri" w:cs="Arial"/>
          <w:i/>
          <w:color w:val="4472C4" w:themeColor="accent1"/>
          <w:lang w:eastAsia="it-IT"/>
        </w:rPr>
        <w:t xml:space="preserve"> 133/2009 art.6:</w:t>
      </w:r>
    </w:p>
    <w:p w14:paraId="7C17EC9D" w14:textId="35850AFB" w:rsidR="0012433F" w:rsidRPr="00BC2731" w:rsidRDefault="0012433F" w:rsidP="085B2EC0">
      <w:pPr>
        <w:pStyle w:val="Paragrafoelenco"/>
        <w:numPr>
          <w:ilvl w:val="0"/>
          <w:numId w:val="19"/>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il dichiarante della sostanza soggetta a registrazione in quantitativi pari o superiori a 10 tonnellate all’anno che non effettua o effettua in difformità una valutazione della sicurezza chimica e non compila ovvero compila in modo inesatto o incompleto la relazione sulla sicurezza chimica (articolo 14 paragrafi 1 e 2 del Regolamento) € 15.000 - 90.000</w:t>
      </w:r>
      <w:r w:rsidR="455FC6BB" w:rsidRPr="085B2EC0">
        <w:rPr>
          <w:rFonts w:ascii="Calibri" w:eastAsia="Times New Roman" w:hAnsi="Calibri" w:cs="Arial"/>
          <w:i/>
          <w:iCs/>
          <w:color w:val="4472C4" w:themeColor="accent1"/>
          <w:lang w:eastAsia="it-IT"/>
        </w:rPr>
        <w:t>;</w:t>
      </w:r>
    </w:p>
    <w:p w14:paraId="3CDD4689" w14:textId="1DD406D7" w:rsidR="0012433F" w:rsidRPr="00BC2731" w:rsidRDefault="455FC6BB" w:rsidP="085B2EC0">
      <w:pPr>
        <w:pStyle w:val="Paragrafoelenco"/>
        <w:numPr>
          <w:ilvl w:val="0"/>
          <w:numId w:val="19"/>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m</w:t>
      </w:r>
      <w:r w:rsidR="0012433F" w:rsidRPr="085B2EC0">
        <w:rPr>
          <w:rFonts w:ascii="Calibri" w:eastAsia="Times New Roman" w:hAnsi="Calibri" w:cs="Arial"/>
          <w:i/>
          <w:iCs/>
          <w:color w:val="4472C4" w:themeColor="accent1"/>
          <w:lang w:eastAsia="it-IT"/>
        </w:rPr>
        <w:t>ancato aggiornamento CSA €10.000 - 60.000</w:t>
      </w:r>
      <w:r w:rsidR="2F5F33AC" w:rsidRPr="085B2EC0">
        <w:rPr>
          <w:rFonts w:ascii="Calibri" w:eastAsia="Times New Roman" w:hAnsi="Calibri" w:cs="Arial"/>
          <w:i/>
          <w:iCs/>
          <w:color w:val="4472C4" w:themeColor="accent1"/>
          <w:lang w:eastAsia="it-IT"/>
        </w:rPr>
        <w:t>;</w:t>
      </w:r>
    </w:p>
    <w:p w14:paraId="0FE7C738" w14:textId="65DB89DB" w:rsidR="0012433F" w:rsidRPr="00BC2731" w:rsidRDefault="2F5F33AC" w:rsidP="085B2EC0">
      <w:pPr>
        <w:pStyle w:val="Paragrafoelenco"/>
        <w:numPr>
          <w:ilvl w:val="0"/>
          <w:numId w:val="19"/>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l</w:t>
      </w:r>
      <w:r w:rsidR="0012433F" w:rsidRPr="085B2EC0">
        <w:rPr>
          <w:rFonts w:ascii="Calibri" w:eastAsia="Times New Roman" w:hAnsi="Calibri" w:cs="Arial"/>
          <w:i/>
          <w:iCs/>
          <w:color w:val="4472C4" w:themeColor="accent1"/>
          <w:lang w:eastAsia="it-IT"/>
        </w:rPr>
        <w:t>a non identificazione e/o la non applicazione e/o la non raccomandazione delle misure necessarie per controllare adeguatamente i rischi €10.000 - 60.000</w:t>
      </w:r>
      <w:r w:rsidR="58B06CE3" w:rsidRPr="085B2EC0">
        <w:rPr>
          <w:rFonts w:ascii="Calibri" w:eastAsia="Times New Roman" w:hAnsi="Calibri" w:cs="Arial"/>
          <w:i/>
          <w:iCs/>
          <w:color w:val="4472C4" w:themeColor="accent1"/>
          <w:lang w:eastAsia="it-IT"/>
        </w:rPr>
        <w:t>.</w:t>
      </w:r>
    </w:p>
    <w:p w14:paraId="29B2669B" w14:textId="4962F11E" w:rsidR="0012433F" w:rsidRPr="004A27E4" w:rsidRDefault="002F3D40" w:rsidP="0012433F">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19" w:name="_Toc126664571"/>
      <w:r>
        <w:rPr>
          <w:rFonts w:ascii="Calibri" w:eastAsia="Times New Roman" w:hAnsi="Calibri" w:cs="Times New Roman"/>
          <w:b/>
          <w:iCs/>
          <w:snapToGrid w:val="0"/>
          <w:sz w:val="24"/>
          <w:szCs w:val="20"/>
          <w:lang w:eastAsia="it-IT"/>
        </w:rPr>
        <w:t>5</w:t>
      </w:r>
      <w:r w:rsidR="0012433F" w:rsidRPr="004A27E4">
        <w:rPr>
          <w:rFonts w:ascii="Calibri" w:eastAsia="Times New Roman" w:hAnsi="Calibri" w:cs="Times New Roman"/>
          <w:b/>
          <w:iCs/>
          <w:snapToGrid w:val="0"/>
          <w:sz w:val="24"/>
          <w:szCs w:val="20"/>
          <w:lang w:eastAsia="it-IT"/>
        </w:rPr>
        <w:t xml:space="preserve">- Valutazione PBT e </w:t>
      </w:r>
      <w:proofErr w:type="spellStart"/>
      <w:r w:rsidR="0012433F" w:rsidRPr="004A27E4">
        <w:rPr>
          <w:rFonts w:ascii="Calibri" w:eastAsia="Times New Roman" w:hAnsi="Calibri" w:cs="Times New Roman"/>
          <w:b/>
          <w:iCs/>
          <w:snapToGrid w:val="0"/>
          <w:sz w:val="24"/>
          <w:szCs w:val="20"/>
          <w:lang w:eastAsia="it-IT"/>
        </w:rPr>
        <w:t>vPvB</w:t>
      </w:r>
      <w:bookmarkEnd w:id="19"/>
      <w:proofErr w:type="spellEnd"/>
    </w:p>
    <w:p w14:paraId="3C1712F0" w14:textId="77777777" w:rsidR="0012433F" w:rsidRPr="001F2B93" w:rsidRDefault="0012433F" w:rsidP="0012433F">
      <w:pPr>
        <w:spacing w:before="80" w:after="120" w:line="264" w:lineRule="auto"/>
        <w:jc w:val="both"/>
        <w:rPr>
          <w:rFonts w:ascii="Calibri" w:eastAsia="Times New Roman" w:hAnsi="Calibri" w:cs="Arial"/>
          <w:iCs/>
          <w:lang w:eastAsia="it-IT"/>
        </w:rPr>
      </w:pPr>
      <w:r w:rsidRPr="001F2B93">
        <w:rPr>
          <w:rFonts w:ascii="Calibri" w:eastAsia="Times New Roman" w:hAnsi="Calibri" w:cs="Arial"/>
          <w:i/>
          <w:lang w:eastAsia="it-IT"/>
        </w:rPr>
        <w:t xml:space="preserve">Riferimenti: Art. 14 REACH, </w:t>
      </w:r>
      <w:proofErr w:type="spellStart"/>
      <w:r w:rsidRPr="001F2B93">
        <w:rPr>
          <w:rFonts w:ascii="Calibri" w:eastAsia="Times New Roman" w:hAnsi="Calibri" w:cs="Arial"/>
          <w:i/>
          <w:lang w:eastAsia="it-IT"/>
        </w:rPr>
        <w:t>A</w:t>
      </w:r>
      <w:r>
        <w:rPr>
          <w:rFonts w:ascii="Calibri" w:eastAsia="Times New Roman" w:hAnsi="Calibri" w:cs="Arial"/>
          <w:i/>
          <w:lang w:eastAsia="it-IT"/>
        </w:rPr>
        <w:t>ll</w:t>
      </w:r>
      <w:proofErr w:type="spellEnd"/>
      <w:r>
        <w:rPr>
          <w:rFonts w:ascii="Calibri" w:eastAsia="Times New Roman" w:hAnsi="Calibri" w:cs="Arial"/>
          <w:i/>
          <w:lang w:eastAsia="it-IT"/>
        </w:rPr>
        <w:t xml:space="preserve">. </w:t>
      </w:r>
      <w:r w:rsidRPr="001F2B93">
        <w:rPr>
          <w:rFonts w:ascii="Calibri" w:eastAsia="Times New Roman" w:hAnsi="Calibri" w:cs="Arial"/>
          <w:i/>
          <w:lang w:eastAsia="it-IT"/>
        </w:rPr>
        <w:t xml:space="preserve">XIII </w:t>
      </w:r>
      <w:r>
        <w:rPr>
          <w:rFonts w:ascii="Calibri" w:eastAsia="Times New Roman" w:hAnsi="Calibri" w:cs="Arial"/>
          <w:i/>
          <w:lang w:eastAsia="it-IT"/>
        </w:rPr>
        <w:t xml:space="preserve">Regolamento </w:t>
      </w:r>
      <w:r w:rsidRPr="001F2B93">
        <w:rPr>
          <w:rFonts w:ascii="Calibri" w:eastAsia="Times New Roman" w:hAnsi="Calibri" w:cs="Arial"/>
          <w:i/>
          <w:lang w:eastAsia="it-IT"/>
        </w:rPr>
        <w:t>REACH</w:t>
      </w:r>
    </w:p>
    <w:p w14:paraId="5C3E57BA" w14:textId="77777777" w:rsidR="0012433F" w:rsidRPr="001F2B93" w:rsidRDefault="0012433F" w:rsidP="0012433F">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 xml:space="preserve">Linee guida: Guida alle prescrizioni in materia di informazione e alla valutazione della sicurezza chimica Orientamenti per la valutazione PBT/ </w:t>
      </w:r>
      <w:proofErr w:type="spellStart"/>
      <w:r w:rsidRPr="001F2B93">
        <w:rPr>
          <w:rFonts w:ascii="Calibri" w:eastAsia="Times New Roman" w:hAnsi="Calibri" w:cs="Arial"/>
          <w:i/>
          <w:lang w:eastAsia="it-IT"/>
        </w:rPr>
        <w:t>vPvB</w:t>
      </w:r>
      <w:proofErr w:type="spellEnd"/>
      <w:r w:rsidRPr="001F2B93">
        <w:rPr>
          <w:rFonts w:ascii="Calibri" w:eastAsia="Times New Roman" w:hAnsi="Calibri" w:cs="Arial"/>
          <w:i/>
          <w:lang w:eastAsia="it-IT"/>
        </w:rPr>
        <w:t xml:space="preserve"> capitolo R11</w:t>
      </w:r>
    </w:p>
    <w:p w14:paraId="5EB872E7" w14:textId="4F8AF9F8" w:rsidR="0012433F" w:rsidRDefault="0012433F"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Questa valutazione è effettuata solo nel caso di registrazione e per quantitativo pari o maggiori delle </w:t>
      </w:r>
      <w:proofErr w:type="gramStart"/>
      <w:r w:rsidRPr="085B2EC0">
        <w:rPr>
          <w:rFonts w:ascii="Calibri" w:eastAsia="Times New Roman" w:hAnsi="Calibri" w:cs="Arial"/>
          <w:i/>
          <w:iCs/>
          <w:color w:val="4472C4" w:themeColor="accent1"/>
          <w:lang w:eastAsia="it-IT"/>
        </w:rPr>
        <w:t>10</w:t>
      </w:r>
      <w:proofErr w:type="gramEnd"/>
      <w:r w:rsidRPr="085B2EC0">
        <w:rPr>
          <w:rFonts w:ascii="Calibri" w:eastAsia="Times New Roman" w:hAnsi="Calibri" w:cs="Arial"/>
          <w:i/>
          <w:iCs/>
          <w:color w:val="4472C4" w:themeColor="accent1"/>
          <w:lang w:eastAsia="it-IT"/>
        </w:rPr>
        <w:t xml:space="preserve"> ton/anno</w:t>
      </w:r>
      <w:r w:rsidR="6C3B4BB8" w:rsidRPr="085B2EC0">
        <w:rPr>
          <w:rFonts w:ascii="Calibri" w:eastAsia="Times New Roman" w:hAnsi="Calibri" w:cs="Arial"/>
          <w:i/>
          <w:iCs/>
          <w:color w:val="4472C4" w:themeColor="accent1"/>
          <w:lang w:eastAsia="it-IT"/>
        </w:rPr>
        <w:t>.</w:t>
      </w:r>
    </w:p>
    <w:p w14:paraId="62D107A4" w14:textId="1A437DD4" w:rsidR="00825376" w:rsidRDefault="00825376" w:rsidP="001F2B93">
      <w:pPr>
        <w:spacing w:before="80" w:after="120" w:line="264" w:lineRule="auto"/>
        <w:jc w:val="both"/>
        <w:rPr>
          <w:rFonts w:ascii="Calibri" w:eastAsia="Times New Roman" w:hAnsi="Calibri" w:cs="Arial"/>
          <w:iCs/>
          <w:color w:val="4472C4" w:themeColor="accent1"/>
          <w:lang w:eastAsia="it-IT"/>
        </w:rPr>
      </w:pPr>
    </w:p>
    <w:p w14:paraId="2A3EF533" w14:textId="77777777" w:rsidR="001D654C" w:rsidRPr="00BC2731" w:rsidRDefault="001D654C" w:rsidP="001F2B93">
      <w:pPr>
        <w:spacing w:before="80" w:after="120" w:line="264" w:lineRule="auto"/>
        <w:jc w:val="both"/>
        <w:rPr>
          <w:rFonts w:ascii="Calibri" w:eastAsia="Times New Roman" w:hAnsi="Calibri" w:cs="Arial"/>
          <w:iCs/>
          <w:color w:val="4472C4" w:themeColor="accent1"/>
          <w:lang w:eastAsia="it-IT"/>
        </w:rPr>
      </w:pPr>
    </w:p>
    <w:p w14:paraId="25544321" w14:textId="7B54A87B" w:rsidR="005A3FE2" w:rsidRPr="004A27E4" w:rsidRDefault="005A3FE2" w:rsidP="007E16B4">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20" w:name="_Toc126664572"/>
      <w:bookmarkStart w:id="21" w:name="_Hlk55995203"/>
      <w:r w:rsidRPr="004A27E4">
        <w:rPr>
          <w:rFonts w:ascii="Calibri" w:eastAsia="Times New Roman" w:hAnsi="Calibri" w:cs="Times New Roman"/>
          <w:b/>
          <w:iCs/>
          <w:snapToGrid w:val="0"/>
          <w:sz w:val="24"/>
          <w:szCs w:val="20"/>
          <w:lang w:eastAsia="it-IT"/>
        </w:rPr>
        <w:t>CLASSIFICAZIONE ETICHETTATURA ED IMBALLAGGIO</w:t>
      </w:r>
      <w:bookmarkEnd w:id="20"/>
    </w:p>
    <w:p w14:paraId="37839A80" w14:textId="77777777" w:rsidR="001D654C" w:rsidRDefault="001D654C" w:rsidP="001F2B93">
      <w:pPr>
        <w:rPr>
          <w:rFonts w:ascii="Calibri" w:eastAsia="Calibri" w:hAnsi="Calibri" w:cs="Times New Roman"/>
          <w:b/>
          <w:bCs/>
        </w:rPr>
      </w:pPr>
    </w:p>
    <w:p w14:paraId="4BF24548" w14:textId="1AC8D07E" w:rsidR="005A3FE2" w:rsidRPr="004A27E4" w:rsidRDefault="002F3D40" w:rsidP="004A27E4">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22" w:name="_Toc126664573"/>
      <w:r>
        <w:rPr>
          <w:rFonts w:ascii="Calibri" w:eastAsia="Times New Roman" w:hAnsi="Calibri" w:cs="Times New Roman"/>
          <w:b/>
          <w:iCs/>
          <w:snapToGrid w:val="0"/>
          <w:sz w:val="24"/>
          <w:szCs w:val="20"/>
          <w:lang w:eastAsia="it-IT"/>
        </w:rPr>
        <w:t>6</w:t>
      </w:r>
      <w:r w:rsidR="005A3FE2" w:rsidRPr="004A27E4">
        <w:rPr>
          <w:rFonts w:ascii="Calibri" w:eastAsia="Times New Roman" w:hAnsi="Calibri" w:cs="Times New Roman"/>
          <w:b/>
          <w:iCs/>
          <w:snapToGrid w:val="0"/>
          <w:sz w:val="24"/>
          <w:szCs w:val="20"/>
          <w:lang w:eastAsia="it-IT"/>
        </w:rPr>
        <w:t>-Classificazione CLP</w:t>
      </w:r>
      <w:bookmarkEnd w:id="22"/>
    </w:p>
    <w:p w14:paraId="1CE17CE2" w14:textId="77777777" w:rsidR="005A3FE2" w:rsidRPr="003D1F7D" w:rsidRDefault="005A3FE2" w:rsidP="005A3FE2">
      <w:pPr>
        <w:spacing w:before="80" w:after="80" w:line="264" w:lineRule="auto"/>
        <w:jc w:val="both"/>
        <w:rPr>
          <w:rFonts w:ascii="Calibri" w:eastAsia="Times New Roman" w:hAnsi="Calibri" w:cs="Times New Roman"/>
          <w:i/>
          <w:szCs w:val="24"/>
          <w:lang w:val="en-US" w:eastAsia="it-IT"/>
        </w:rPr>
      </w:pPr>
      <w:bookmarkStart w:id="23" w:name="_Hlk55995230"/>
      <w:proofErr w:type="spellStart"/>
      <w:r w:rsidRPr="003D1F7D">
        <w:rPr>
          <w:rFonts w:ascii="Calibri" w:eastAsia="Calibri" w:hAnsi="Calibri" w:cs="Times New Roman"/>
          <w:i/>
          <w:lang w:val="en-US"/>
        </w:rPr>
        <w:t>Riferimenti</w:t>
      </w:r>
      <w:proofErr w:type="spellEnd"/>
      <w:r w:rsidRPr="003D1F7D">
        <w:rPr>
          <w:rFonts w:ascii="Calibri" w:eastAsia="Calibri" w:hAnsi="Calibri" w:cs="Times New Roman"/>
          <w:i/>
          <w:lang w:val="en-US"/>
        </w:rPr>
        <w:t xml:space="preserve">: </w:t>
      </w:r>
      <w:r w:rsidRPr="003D1F7D">
        <w:rPr>
          <w:rFonts w:ascii="Calibri" w:eastAsia="Times New Roman" w:hAnsi="Calibri" w:cs="Times New Roman"/>
          <w:i/>
          <w:szCs w:val="24"/>
          <w:lang w:val="en-US" w:eastAsia="it-IT"/>
        </w:rPr>
        <w:t xml:space="preserve">All. V </w:t>
      </w:r>
      <w:proofErr w:type="spellStart"/>
      <w:r w:rsidRPr="003D1F7D">
        <w:rPr>
          <w:rFonts w:ascii="Calibri" w:eastAsia="Times New Roman" w:hAnsi="Calibri" w:cs="Times New Roman"/>
          <w:i/>
          <w:szCs w:val="24"/>
          <w:lang w:val="en-US" w:eastAsia="it-IT"/>
        </w:rPr>
        <w:t>parte</w:t>
      </w:r>
      <w:proofErr w:type="spellEnd"/>
      <w:r w:rsidRPr="003D1F7D">
        <w:rPr>
          <w:rFonts w:ascii="Calibri" w:eastAsia="Times New Roman" w:hAnsi="Calibri" w:cs="Times New Roman"/>
          <w:i/>
          <w:szCs w:val="24"/>
          <w:lang w:val="en-US" w:eastAsia="it-IT"/>
        </w:rPr>
        <w:t xml:space="preserve"> 2 – 5 CLP</w:t>
      </w:r>
    </w:p>
    <w:p w14:paraId="1180AB71" w14:textId="77777777" w:rsidR="005A3FE2" w:rsidRPr="003D1F7D" w:rsidRDefault="005A3FE2" w:rsidP="005A3FE2">
      <w:pPr>
        <w:spacing w:before="80" w:after="120" w:line="264" w:lineRule="auto"/>
        <w:jc w:val="both"/>
        <w:rPr>
          <w:rFonts w:ascii="Calibri" w:eastAsia="Calibri" w:hAnsi="Calibri" w:cs="Times New Roman"/>
          <w:i/>
          <w:lang w:val="en-US"/>
        </w:rPr>
      </w:pPr>
      <w:r w:rsidRPr="003D1F7D">
        <w:rPr>
          <w:rFonts w:ascii="Calibri" w:eastAsia="Calibri" w:hAnsi="Calibri" w:cs="Times New Roman"/>
          <w:i/>
          <w:lang w:val="en-US"/>
        </w:rPr>
        <w:t xml:space="preserve">Linee </w:t>
      </w:r>
      <w:proofErr w:type="spellStart"/>
      <w:r w:rsidRPr="003D1F7D">
        <w:rPr>
          <w:rFonts w:ascii="Calibri" w:eastAsia="Calibri" w:hAnsi="Calibri" w:cs="Times New Roman"/>
          <w:i/>
          <w:lang w:val="en-US"/>
        </w:rPr>
        <w:t>guida</w:t>
      </w:r>
      <w:proofErr w:type="spellEnd"/>
      <w:r w:rsidRPr="003D1F7D">
        <w:rPr>
          <w:rFonts w:ascii="Calibri" w:eastAsia="Calibri" w:hAnsi="Calibri" w:cs="Times New Roman"/>
          <w:i/>
          <w:lang w:val="en-US"/>
        </w:rPr>
        <w:t>: Guidance on the Application of the CLP Criteria Version 5.0 July 2017</w:t>
      </w:r>
    </w:p>
    <w:bookmarkEnd w:id="23"/>
    <w:p w14:paraId="103DD084" w14:textId="77777777" w:rsidR="005A3FE2" w:rsidRPr="00BC2731" w:rsidRDefault="005A3FE2" w:rsidP="005A3FE2">
      <w:pPr>
        <w:jc w:val="both"/>
        <w:rPr>
          <w:rFonts w:ascii="Calibri" w:eastAsia="Calibri" w:hAnsi="Calibri" w:cs="Times New Roman"/>
          <w:i/>
          <w:iCs/>
          <w:color w:val="4472C4" w:themeColor="accent1"/>
        </w:rPr>
      </w:pPr>
      <w:r w:rsidRPr="00BC2731">
        <w:rPr>
          <w:rFonts w:ascii="Calibri" w:eastAsia="Calibri" w:hAnsi="Calibri" w:cs="Times New Roman"/>
          <w:i/>
          <w:iCs/>
          <w:color w:val="4472C4" w:themeColor="accent1"/>
        </w:rPr>
        <w:t>Nel caso di articoli non si effettua la classificazione, ma nel caso di sostanze o miscele è necessario. Anche nel caso non sia pericolosa la sostanza o la miscela bisogna dimostrarlo e tenere a disposizione per gli enti di controllo le valutazioni effettuate. La mancanza di tali valutazioni è sanzionabile</w:t>
      </w:r>
    </w:p>
    <w:p w14:paraId="2E750FDA" w14:textId="77777777" w:rsidR="005A3FE2" w:rsidRPr="00BC2731" w:rsidRDefault="005A3FE2" w:rsidP="005A3FE2">
      <w:pPr>
        <w:jc w:val="both"/>
        <w:rPr>
          <w:rFonts w:ascii="Calibri" w:eastAsia="Calibri" w:hAnsi="Calibri" w:cs="Times New Roman"/>
          <w:i/>
          <w:iCs/>
          <w:color w:val="4472C4" w:themeColor="accent1"/>
        </w:rPr>
      </w:pPr>
      <w:r w:rsidRPr="00BC2731">
        <w:rPr>
          <w:rFonts w:ascii="Calibri" w:eastAsia="Calibri" w:hAnsi="Calibri" w:cs="Times New Roman"/>
          <w:i/>
          <w:iCs/>
          <w:color w:val="4472C4" w:themeColor="accent1"/>
        </w:rPr>
        <w:t>Sono sanzionabili secondo il</w:t>
      </w:r>
      <w:r w:rsidRPr="00BC2731">
        <w:rPr>
          <w:i/>
          <w:iCs/>
          <w:color w:val="4472C4" w:themeColor="accent1"/>
        </w:rPr>
        <w:t xml:space="preserve"> </w:t>
      </w:r>
      <w:proofErr w:type="spellStart"/>
      <w:r w:rsidRPr="00BC2731">
        <w:rPr>
          <w:i/>
          <w:iCs/>
          <w:color w:val="4472C4" w:themeColor="accent1"/>
        </w:rPr>
        <w:t>d.lgs</w:t>
      </w:r>
      <w:proofErr w:type="spellEnd"/>
      <w:r w:rsidRPr="00BC2731">
        <w:rPr>
          <w:i/>
          <w:iCs/>
          <w:color w:val="4472C4" w:themeColor="accent1"/>
        </w:rPr>
        <w:t xml:space="preserve"> 186/2011 art 3:</w:t>
      </w:r>
    </w:p>
    <w:p w14:paraId="5BEDE500" w14:textId="53606E31" w:rsidR="005A3FE2" w:rsidRPr="00BC2731" w:rsidRDefault="005A3FE2" w:rsidP="085B2EC0">
      <w:pPr>
        <w:pStyle w:val="Paragrafoelenco"/>
        <w:numPr>
          <w:ilvl w:val="0"/>
          <w:numId w:val="21"/>
        </w:numPr>
        <w:jc w:val="both"/>
        <w:rPr>
          <w:i/>
          <w:iCs/>
          <w:color w:val="4472C4" w:themeColor="accent1"/>
        </w:rPr>
      </w:pPr>
      <w:r w:rsidRPr="085B2EC0">
        <w:rPr>
          <w:i/>
          <w:iCs/>
          <w:color w:val="4472C4" w:themeColor="accent1"/>
        </w:rPr>
        <w:lastRenderedPageBreak/>
        <w:t>Art 4.1 del CLP: F/I/DU che non classificano sostanze e miscele o non classificano conformemente al titolo II del CLP sono soggetti al pagamento 15.000-90.000 € (riguarda le sostanze/miscele immesse: la classificazione va fatta prima della immissione)</w:t>
      </w:r>
      <w:r w:rsidR="333467D3" w:rsidRPr="085B2EC0">
        <w:rPr>
          <w:i/>
          <w:iCs/>
          <w:color w:val="4472C4" w:themeColor="accent1"/>
        </w:rPr>
        <w:t>;</w:t>
      </w:r>
    </w:p>
    <w:p w14:paraId="507723CA" w14:textId="2BE40BD9" w:rsidR="005A3FE2" w:rsidRPr="00BC2731" w:rsidRDefault="005A3FE2" w:rsidP="085B2EC0">
      <w:pPr>
        <w:pStyle w:val="Paragrafoelenco"/>
        <w:numPr>
          <w:ilvl w:val="0"/>
          <w:numId w:val="21"/>
        </w:numPr>
        <w:jc w:val="both"/>
        <w:rPr>
          <w:rFonts w:ascii="Calibri" w:eastAsia="Calibri" w:hAnsi="Calibri" w:cs="Times New Roman"/>
          <w:i/>
          <w:iCs/>
          <w:color w:val="4472C4" w:themeColor="accent1"/>
        </w:rPr>
      </w:pPr>
      <w:r w:rsidRPr="085B2EC0">
        <w:rPr>
          <w:i/>
          <w:iCs/>
          <w:color w:val="4472C4" w:themeColor="accent1"/>
        </w:rPr>
        <w:t>Art 4.2 del CLP: per le sostanze non immesse per le quali è richiesta una registrazione o notifica dal REACH (sostanze in quanto tali o in miscele fabbricate pari o sopra 1 tonn/y, sostanza rilasciata da un articolo, registrazione su richiesta dell’ECHA, intermedi): i F/produttori di articoli/I sono tenuti a classificare, altrimenti sanzione 15.000-90.000</w:t>
      </w:r>
      <w:r w:rsidR="2F2FE135" w:rsidRPr="085B2EC0">
        <w:rPr>
          <w:i/>
          <w:iCs/>
          <w:color w:val="4472C4" w:themeColor="accent1"/>
        </w:rPr>
        <w:t xml:space="preserve"> </w:t>
      </w:r>
      <w:r w:rsidRPr="085B2EC0">
        <w:rPr>
          <w:i/>
          <w:iCs/>
          <w:color w:val="4472C4" w:themeColor="accent1"/>
        </w:rPr>
        <w:t>€</w:t>
      </w:r>
      <w:r w:rsidR="617AC322" w:rsidRPr="085B2EC0">
        <w:rPr>
          <w:i/>
          <w:iCs/>
          <w:color w:val="4472C4" w:themeColor="accent1"/>
        </w:rPr>
        <w:t>;</w:t>
      </w:r>
    </w:p>
    <w:p w14:paraId="05A4E0B7" w14:textId="6E0E9E7C" w:rsidR="005A3FE2" w:rsidRPr="00BC2731" w:rsidRDefault="005A3FE2" w:rsidP="085B2EC0">
      <w:pPr>
        <w:pStyle w:val="Paragrafoelenco"/>
        <w:numPr>
          <w:ilvl w:val="0"/>
          <w:numId w:val="21"/>
        </w:numPr>
        <w:jc w:val="both"/>
        <w:rPr>
          <w:rFonts w:ascii="Calibri" w:eastAsia="Calibri" w:hAnsi="Calibri" w:cs="Times New Roman"/>
          <w:i/>
          <w:iCs/>
          <w:color w:val="4472C4" w:themeColor="accent1"/>
        </w:rPr>
      </w:pPr>
      <w:r w:rsidRPr="085B2EC0">
        <w:rPr>
          <w:i/>
          <w:iCs/>
          <w:color w:val="4472C4" w:themeColor="accent1"/>
        </w:rPr>
        <w:t>Art.4.3 del CLP: relativo a sostanze con classificazione armonizzata a cui si deve applicare tale classificazione e in più se la sostanza rientra anche in una o più classi di pericolo o relative differenziazioni non figuranti in una voce dell'allegato VI, parte 3, per tali classi di pericolo o differenziazioni è effettuata una classificazione secondo il titolo II: altrimenti per i F/I/DU sanzione 15.000-90.000 €</w:t>
      </w:r>
      <w:r w:rsidR="0795E9B7" w:rsidRPr="085B2EC0">
        <w:rPr>
          <w:i/>
          <w:iCs/>
          <w:color w:val="4472C4" w:themeColor="accent1"/>
        </w:rPr>
        <w:t>.</w:t>
      </w:r>
    </w:p>
    <w:p w14:paraId="214D8847" w14:textId="77777777" w:rsidR="005A3FE2" w:rsidRPr="00BC2731" w:rsidRDefault="005A3FE2" w:rsidP="005A3FE2">
      <w:pPr>
        <w:jc w:val="both"/>
        <w:rPr>
          <w:rFonts w:ascii="Calibri" w:eastAsia="Calibri" w:hAnsi="Calibri" w:cs="Times New Roman"/>
          <w:i/>
          <w:iCs/>
          <w:color w:val="4472C4" w:themeColor="accent1"/>
        </w:rPr>
      </w:pPr>
      <w:r w:rsidRPr="00BC2731">
        <w:rPr>
          <w:rFonts w:ascii="Calibri" w:eastAsia="Calibri" w:hAnsi="Calibri" w:cs="Times New Roman"/>
          <w:i/>
          <w:iCs/>
          <w:color w:val="4472C4" w:themeColor="accent1"/>
        </w:rPr>
        <w:t>Sono sanzionabili secondo il Sono sanzionabili secondo il</w:t>
      </w:r>
      <w:r w:rsidRPr="00BC2731">
        <w:rPr>
          <w:i/>
          <w:iCs/>
          <w:color w:val="4472C4" w:themeColor="accent1"/>
        </w:rPr>
        <w:t xml:space="preserve"> </w:t>
      </w:r>
      <w:proofErr w:type="spellStart"/>
      <w:r w:rsidRPr="00BC2731">
        <w:rPr>
          <w:i/>
          <w:iCs/>
          <w:color w:val="4472C4" w:themeColor="accent1"/>
        </w:rPr>
        <w:t>d.lgs</w:t>
      </w:r>
      <w:proofErr w:type="spellEnd"/>
      <w:r w:rsidRPr="00BC2731">
        <w:rPr>
          <w:i/>
          <w:iCs/>
          <w:color w:val="4472C4" w:themeColor="accent1"/>
        </w:rPr>
        <w:t xml:space="preserve"> 186/2011 art 6:</w:t>
      </w:r>
    </w:p>
    <w:p w14:paraId="3671BD52" w14:textId="6E2B7FDE" w:rsidR="005A3FE2" w:rsidRPr="00BC2731" w:rsidRDefault="005A3FE2" w:rsidP="085B2EC0">
      <w:pPr>
        <w:pStyle w:val="Paragrafoelenco"/>
        <w:numPr>
          <w:ilvl w:val="0"/>
          <w:numId w:val="23"/>
        </w:numPr>
        <w:jc w:val="both"/>
        <w:rPr>
          <w:rFonts w:ascii="Calibri" w:eastAsia="Calibri" w:hAnsi="Calibri" w:cs="Times New Roman"/>
          <w:i/>
          <w:iCs/>
          <w:color w:val="4472C4" w:themeColor="accent1"/>
        </w:rPr>
      </w:pPr>
      <w:r w:rsidRPr="085B2EC0">
        <w:rPr>
          <w:i/>
          <w:iCs/>
          <w:color w:val="4472C4" w:themeColor="accent1"/>
        </w:rPr>
        <w:t>Art 10.1 del CLP: il F/I/DU che ha informazioni scientifiche tali per cui una sostanza comporta un pericolo evidente quando è presente a un livello inferiore al livello generico deve fissare un limite specifico: altrimenti sanzione 15.000 - 90.000 €</w:t>
      </w:r>
      <w:r w:rsidR="718956DC" w:rsidRPr="085B2EC0">
        <w:rPr>
          <w:i/>
          <w:iCs/>
          <w:color w:val="4472C4" w:themeColor="accent1"/>
        </w:rPr>
        <w:t>;</w:t>
      </w:r>
      <w:r w:rsidRPr="085B2EC0">
        <w:rPr>
          <w:i/>
          <w:iCs/>
          <w:color w:val="4472C4" w:themeColor="accent1"/>
        </w:rPr>
        <w:t xml:space="preserve"> </w:t>
      </w:r>
    </w:p>
    <w:p w14:paraId="4478CF1A" w14:textId="649F2E99" w:rsidR="005A3FE2" w:rsidRPr="00BC2731" w:rsidRDefault="005A3FE2" w:rsidP="085B2EC0">
      <w:pPr>
        <w:pStyle w:val="Paragrafoelenco"/>
        <w:numPr>
          <w:ilvl w:val="0"/>
          <w:numId w:val="23"/>
        </w:numPr>
        <w:jc w:val="both"/>
        <w:rPr>
          <w:i/>
          <w:iCs/>
          <w:color w:val="4472C4" w:themeColor="accent1"/>
        </w:rPr>
      </w:pPr>
      <w:r w:rsidRPr="085B2EC0">
        <w:rPr>
          <w:i/>
          <w:iCs/>
          <w:color w:val="4472C4" w:themeColor="accent1"/>
        </w:rPr>
        <w:t xml:space="preserve"> Art 10.2, 10.4 del CLP il F/I/DU deve stabilire i fattori M (anche per le sostanze la cui classificazione è armonizzata): altrimenti sanzione 10.000 - 60.000</w:t>
      </w:r>
      <w:r w:rsidR="04820202" w:rsidRPr="085B2EC0">
        <w:rPr>
          <w:i/>
          <w:iCs/>
          <w:color w:val="4472C4" w:themeColor="accent1"/>
        </w:rPr>
        <w:t xml:space="preserve"> </w:t>
      </w:r>
      <w:r w:rsidRPr="085B2EC0">
        <w:rPr>
          <w:i/>
          <w:iCs/>
          <w:color w:val="4472C4" w:themeColor="accent1"/>
        </w:rPr>
        <w:t>€</w:t>
      </w:r>
      <w:r w:rsidR="60AF2202" w:rsidRPr="085B2EC0">
        <w:rPr>
          <w:i/>
          <w:iCs/>
          <w:color w:val="4472C4" w:themeColor="accent1"/>
        </w:rPr>
        <w:t>.</w:t>
      </w:r>
    </w:p>
    <w:p w14:paraId="7029D507" w14:textId="2DF05970" w:rsidR="005A3FE2" w:rsidRPr="00BC2731" w:rsidRDefault="005A3FE2" w:rsidP="001F2B93">
      <w:pPr>
        <w:rPr>
          <w:rFonts w:ascii="Calibri" w:eastAsia="Calibri" w:hAnsi="Calibri" w:cs="Times New Roman"/>
          <w:b/>
          <w:bCs/>
          <w:color w:val="4472C4" w:themeColor="accent1"/>
        </w:rPr>
      </w:pPr>
    </w:p>
    <w:p w14:paraId="090736A6" w14:textId="20A95CC1" w:rsidR="005A3FE2" w:rsidRPr="004A27E4" w:rsidRDefault="002F3D40" w:rsidP="004A27E4">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24" w:name="_Toc126664574"/>
      <w:bookmarkStart w:id="25" w:name="_Hlk55995374"/>
      <w:r>
        <w:rPr>
          <w:rFonts w:ascii="Calibri" w:eastAsia="Times New Roman" w:hAnsi="Calibri" w:cs="Times New Roman"/>
          <w:b/>
          <w:iCs/>
          <w:snapToGrid w:val="0"/>
          <w:sz w:val="24"/>
          <w:szCs w:val="20"/>
          <w:lang w:eastAsia="it-IT"/>
        </w:rPr>
        <w:t>7</w:t>
      </w:r>
      <w:r w:rsidR="00824D6C" w:rsidRPr="004A27E4">
        <w:rPr>
          <w:rFonts w:ascii="Calibri" w:eastAsia="Times New Roman" w:hAnsi="Calibri" w:cs="Times New Roman"/>
          <w:b/>
          <w:iCs/>
          <w:snapToGrid w:val="0"/>
          <w:sz w:val="24"/>
          <w:szCs w:val="20"/>
          <w:lang w:eastAsia="it-IT"/>
        </w:rPr>
        <w:t>,</w:t>
      </w:r>
      <w:r>
        <w:rPr>
          <w:rFonts w:ascii="Calibri" w:eastAsia="Times New Roman" w:hAnsi="Calibri" w:cs="Times New Roman"/>
          <w:b/>
          <w:iCs/>
          <w:snapToGrid w:val="0"/>
          <w:sz w:val="24"/>
          <w:szCs w:val="20"/>
          <w:lang w:eastAsia="it-IT"/>
        </w:rPr>
        <w:t>8</w:t>
      </w:r>
      <w:r w:rsidR="00824D6C" w:rsidRPr="004A27E4">
        <w:rPr>
          <w:rFonts w:ascii="Calibri" w:eastAsia="Times New Roman" w:hAnsi="Calibri" w:cs="Times New Roman"/>
          <w:b/>
          <w:iCs/>
          <w:snapToGrid w:val="0"/>
          <w:sz w:val="24"/>
          <w:szCs w:val="20"/>
          <w:lang w:eastAsia="it-IT"/>
        </w:rPr>
        <w:t>-</w:t>
      </w:r>
      <w:r w:rsidR="005A3FE2" w:rsidRPr="004A27E4">
        <w:rPr>
          <w:rFonts w:ascii="Calibri" w:eastAsia="Times New Roman" w:hAnsi="Calibri" w:cs="Times New Roman"/>
          <w:b/>
          <w:iCs/>
          <w:snapToGrid w:val="0"/>
          <w:sz w:val="24"/>
          <w:szCs w:val="20"/>
          <w:lang w:eastAsia="it-IT"/>
        </w:rPr>
        <w:t xml:space="preserve"> Etichettatura ed imballaggio</w:t>
      </w:r>
      <w:bookmarkEnd w:id="24"/>
    </w:p>
    <w:p w14:paraId="74C84449" w14:textId="77777777" w:rsidR="005A3FE2" w:rsidRPr="001F2B93" w:rsidRDefault="005A3FE2" w:rsidP="005A3FE2">
      <w:pPr>
        <w:spacing w:before="80" w:after="120" w:line="264" w:lineRule="auto"/>
        <w:jc w:val="both"/>
        <w:rPr>
          <w:rFonts w:ascii="Calibri" w:eastAsia="Calibri" w:hAnsi="Calibri" w:cs="Times New Roman"/>
          <w:i/>
        </w:rPr>
      </w:pPr>
      <w:r w:rsidRPr="001F2B93">
        <w:rPr>
          <w:rFonts w:ascii="Calibri" w:eastAsia="Times New Roman" w:hAnsi="Calibri" w:cs="Arial"/>
          <w:i/>
          <w:lang w:eastAsia="it-IT"/>
        </w:rPr>
        <w:t xml:space="preserve">Riferimenti: </w:t>
      </w:r>
      <w:r w:rsidRPr="001F2B93">
        <w:rPr>
          <w:rFonts w:ascii="Calibri" w:eastAsia="Calibri" w:hAnsi="Calibri" w:cs="Times New Roman"/>
          <w:i/>
        </w:rPr>
        <w:t>Artt.23,29,30,31,33, 35 CLP</w:t>
      </w:r>
    </w:p>
    <w:p w14:paraId="41F09763" w14:textId="77777777" w:rsidR="005A3FE2" w:rsidRPr="003D1F7D" w:rsidRDefault="005A3FE2" w:rsidP="005A3FE2">
      <w:pPr>
        <w:spacing w:before="80" w:after="120" w:line="264" w:lineRule="auto"/>
        <w:jc w:val="both"/>
        <w:rPr>
          <w:rFonts w:ascii="Calibri" w:eastAsia="Calibri" w:hAnsi="Calibri" w:cs="Times New Roman"/>
          <w:i/>
          <w:lang w:val="en-US"/>
        </w:rPr>
      </w:pPr>
      <w:r w:rsidRPr="003D1F7D">
        <w:rPr>
          <w:rFonts w:ascii="Calibri" w:eastAsia="Calibri" w:hAnsi="Calibri" w:cs="Times New Roman"/>
          <w:i/>
          <w:lang w:val="en-US"/>
        </w:rPr>
        <w:t xml:space="preserve">Linee </w:t>
      </w:r>
      <w:proofErr w:type="spellStart"/>
      <w:r w:rsidRPr="003D1F7D">
        <w:rPr>
          <w:rFonts w:ascii="Calibri" w:eastAsia="Calibri" w:hAnsi="Calibri" w:cs="Times New Roman"/>
          <w:i/>
          <w:lang w:val="en-US"/>
        </w:rPr>
        <w:t>guida</w:t>
      </w:r>
      <w:proofErr w:type="spellEnd"/>
      <w:r w:rsidRPr="003D1F7D">
        <w:rPr>
          <w:rFonts w:ascii="Calibri" w:eastAsia="Calibri" w:hAnsi="Calibri" w:cs="Times New Roman"/>
          <w:i/>
          <w:lang w:val="en-US"/>
        </w:rPr>
        <w:t>: Guidance on labelling and packaging in accordance with Regulation (EC) No 1272/2008 Version 4.1 May 2020</w:t>
      </w:r>
    </w:p>
    <w:bookmarkEnd w:id="25"/>
    <w:p w14:paraId="45EC75F9" w14:textId="77777777" w:rsidR="005A3FE2" w:rsidRPr="00BC2731" w:rsidRDefault="005A3FE2" w:rsidP="005A3FE2">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Un principio fondamentale del regolamento relativo alla classificazione, all’etichettatura e all’imballaggio (CLP) è l’"</w:t>
      </w:r>
      <w:proofErr w:type="spellStart"/>
      <w:r w:rsidRPr="00BC2731">
        <w:rPr>
          <w:rFonts w:ascii="Calibri" w:eastAsia="Times New Roman" w:hAnsi="Calibri" w:cs="Arial"/>
          <w:i/>
          <w:color w:val="4472C4" w:themeColor="accent1"/>
          <w:lang w:eastAsia="it-IT"/>
        </w:rPr>
        <w:t>autoclassificazione</w:t>
      </w:r>
      <w:proofErr w:type="spellEnd"/>
      <w:r w:rsidRPr="00BC2731">
        <w:rPr>
          <w:rFonts w:ascii="Calibri" w:eastAsia="Times New Roman" w:hAnsi="Calibri" w:cs="Arial"/>
          <w:i/>
          <w:color w:val="4472C4" w:themeColor="accent1"/>
          <w:lang w:eastAsia="it-IT"/>
        </w:rPr>
        <w:t>" di una sostanza o di una miscela da parte del fabbricante, dell’importatore o dell’utilizzatore a valle.</w:t>
      </w:r>
    </w:p>
    <w:p w14:paraId="1B76B677" w14:textId="77777777" w:rsidR="005A3FE2" w:rsidRPr="00BC2731" w:rsidRDefault="005A3FE2" w:rsidP="005A3FE2">
      <w:pPr>
        <w:spacing w:before="80" w:after="120" w:line="264" w:lineRule="auto"/>
        <w:jc w:val="both"/>
        <w:rPr>
          <w:rFonts w:ascii="Calibri" w:eastAsia="Times New Roman" w:hAnsi="Calibri" w:cs="Arial"/>
          <w:i/>
          <w:color w:val="4472C4" w:themeColor="accent1"/>
          <w:lang w:eastAsia="it-IT"/>
        </w:rPr>
      </w:pPr>
      <w:r w:rsidRPr="00BC2731">
        <w:rPr>
          <w:rFonts w:ascii="Calibri" w:eastAsia="Times New Roman" w:hAnsi="Calibri" w:cs="Arial"/>
          <w:i/>
          <w:color w:val="4472C4" w:themeColor="accent1"/>
          <w:lang w:eastAsia="it-IT"/>
        </w:rPr>
        <w:t>Ciò comporta l’identificazione dei pericoli della sostanza o della miscela e la comparazione delle informazioni sui pericoli con i criteri stabiliti nel regolamento CLP. La classificazione si basa sulle proprietà pericolose di una sostanza o di una miscela e non sulla probabilità di esposizione e sulle considerazioni in materia di rischio.</w:t>
      </w:r>
    </w:p>
    <w:p w14:paraId="3442A103" w14:textId="0500B014" w:rsidR="005A3FE2" w:rsidRPr="00BC2731" w:rsidRDefault="005A3FE2"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L’</w:t>
      </w:r>
      <w:proofErr w:type="spellStart"/>
      <w:r w:rsidRPr="085B2EC0">
        <w:rPr>
          <w:rFonts w:ascii="Calibri" w:eastAsia="Times New Roman" w:hAnsi="Calibri" w:cs="Arial"/>
          <w:i/>
          <w:iCs/>
          <w:color w:val="4472C4" w:themeColor="accent1"/>
          <w:lang w:eastAsia="it-IT"/>
        </w:rPr>
        <w:t>autoclassificazione</w:t>
      </w:r>
      <w:proofErr w:type="spellEnd"/>
      <w:r w:rsidRPr="085B2EC0">
        <w:rPr>
          <w:rFonts w:ascii="Calibri" w:eastAsia="Times New Roman" w:hAnsi="Calibri" w:cs="Arial"/>
          <w:i/>
          <w:iCs/>
          <w:color w:val="4472C4" w:themeColor="accent1"/>
          <w:lang w:eastAsia="it-IT"/>
        </w:rPr>
        <w:t xml:space="preserve"> mira a stabilire se una sostanza o una miscela chimica presenti pericoli fisici, per la salute e/o per l’ambiente e a comunicare correttamente tali pericoli, tramite un’etichettatura adeguata, nella catena di approvvigionamento quando il prodotto è immesso sul mercato, indipendentemente dal volume della sostanza o della miscela prodotta</w:t>
      </w:r>
      <w:r w:rsidR="42A4BA3C" w:rsidRPr="085B2EC0">
        <w:rPr>
          <w:rFonts w:ascii="Calibri" w:eastAsia="Times New Roman" w:hAnsi="Calibri" w:cs="Arial"/>
          <w:i/>
          <w:iCs/>
          <w:color w:val="4472C4" w:themeColor="accent1"/>
          <w:lang w:eastAsia="it-IT"/>
        </w:rPr>
        <w:t>.</w:t>
      </w:r>
    </w:p>
    <w:p w14:paraId="7B27C940" w14:textId="77777777" w:rsidR="005A3FE2" w:rsidRPr="00BC2731" w:rsidRDefault="005A3FE2" w:rsidP="005A3FE2">
      <w:pPr>
        <w:jc w:val="both"/>
        <w:rPr>
          <w:rFonts w:ascii="Calibri" w:eastAsia="Calibri" w:hAnsi="Calibri" w:cs="Times New Roman"/>
          <w:i/>
          <w:iCs/>
          <w:color w:val="4472C4" w:themeColor="accent1"/>
        </w:rPr>
      </w:pPr>
      <w:bookmarkStart w:id="26" w:name="_Hlk58839892"/>
      <w:r w:rsidRPr="00BC2731">
        <w:rPr>
          <w:rFonts w:ascii="Calibri" w:eastAsia="Calibri" w:hAnsi="Calibri" w:cs="Times New Roman"/>
          <w:i/>
          <w:iCs/>
          <w:color w:val="4472C4" w:themeColor="accent1"/>
        </w:rPr>
        <w:t>Sono sanzionabili secondo il</w:t>
      </w:r>
      <w:r w:rsidRPr="00BC2731">
        <w:rPr>
          <w:i/>
          <w:iCs/>
          <w:color w:val="4472C4" w:themeColor="accent1"/>
        </w:rPr>
        <w:t xml:space="preserve"> </w:t>
      </w:r>
      <w:proofErr w:type="spellStart"/>
      <w:r w:rsidRPr="00BC2731">
        <w:rPr>
          <w:i/>
          <w:iCs/>
          <w:color w:val="4472C4" w:themeColor="accent1"/>
        </w:rPr>
        <w:t>d.lgs</w:t>
      </w:r>
      <w:proofErr w:type="spellEnd"/>
      <w:r w:rsidRPr="00BC2731">
        <w:rPr>
          <w:i/>
          <w:iCs/>
          <w:color w:val="4472C4" w:themeColor="accent1"/>
        </w:rPr>
        <w:t xml:space="preserve"> 186/2011 art 3:</w:t>
      </w:r>
    </w:p>
    <w:bookmarkEnd w:id="26"/>
    <w:p w14:paraId="4060A24C" w14:textId="6C5CE8B9" w:rsidR="005A3FE2" w:rsidRPr="00BC2731" w:rsidRDefault="005A3FE2" w:rsidP="085B2EC0">
      <w:pPr>
        <w:pStyle w:val="Paragrafoelenco"/>
        <w:numPr>
          <w:ilvl w:val="0"/>
          <w:numId w:val="22"/>
        </w:numPr>
        <w:jc w:val="both"/>
        <w:rPr>
          <w:rFonts w:ascii="Calibri" w:eastAsia="Calibri" w:hAnsi="Calibri" w:cs="Times New Roman"/>
          <w:i/>
          <w:iCs/>
          <w:color w:val="4472C4" w:themeColor="accent1"/>
        </w:rPr>
      </w:pPr>
      <w:r w:rsidRPr="085B2EC0">
        <w:rPr>
          <w:i/>
          <w:iCs/>
          <w:color w:val="4472C4" w:themeColor="accent1"/>
        </w:rPr>
        <w:t>4.4 del CLP: F/fornitore/I sanzione che non etichetta o imballa una sostanza/miscela classificata pericolosa prima di immetterla sul mercato o lo fa difformemente, rispettivamente, al titolo III o IV incorre al pagamento da 15.000 -90.000 €</w:t>
      </w:r>
      <w:r w:rsidR="53059AD5" w:rsidRPr="085B2EC0">
        <w:rPr>
          <w:i/>
          <w:iCs/>
          <w:color w:val="4472C4" w:themeColor="accent1"/>
        </w:rPr>
        <w:t>.</w:t>
      </w:r>
    </w:p>
    <w:p w14:paraId="563F15CD" w14:textId="77777777" w:rsidR="005A3FE2" w:rsidRPr="00BC2731" w:rsidRDefault="005A3FE2" w:rsidP="005A3FE2">
      <w:pPr>
        <w:jc w:val="both"/>
        <w:rPr>
          <w:rFonts w:ascii="Calibri" w:eastAsia="Calibri" w:hAnsi="Calibri" w:cs="Times New Roman"/>
          <w:i/>
          <w:iCs/>
          <w:color w:val="4472C4" w:themeColor="accent1"/>
        </w:rPr>
      </w:pPr>
      <w:bookmarkStart w:id="27" w:name="_Hlk58840057"/>
      <w:r w:rsidRPr="00BC2731">
        <w:rPr>
          <w:rFonts w:ascii="Calibri" w:eastAsia="Calibri" w:hAnsi="Calibri" w:cs="Times New Roman"/>
          <w:i/>
          <w:iCs/>
          <w:color w:val="4472C4" w:themeColor="accent1"/>
        </w:rPr>
        <w:t>Sono sanzionabili secondo il</w:t>
      </w:r>
      <w:r w:rsidRPr="00BC2731">
        <w:rPr>
          <w:i/>
          <w:iCs/>
          <w:color w:val="4472C4" w:themeColor="accent1"/>
        </w:rPr>
        <w:t xml:space="preserve"> </w:t>
      </w:r>
      <w:proofErr w:type="spellStart"/>
      <w:r w:rsidRPr="00BC2731">
        <w:rPr>
          <w:i/>
          <w:iCs/>
          <w:color w:val="4472C4" w:themeColor="accent1"/>
        </w:rPr>
        <w:t>d.lgs</w:t>
      </w:r>
      <w:proofErr w:type="spellEnd"/>
      <w:r w:rsidRPr="00BC2731">
        <w:rPr>
          <w:i/>
          <w:iCs/>
          <w:color w:val="4472C4" w:themeColor="accent1"/>
        </w:rPr>
        <w:t xml:space="preserve"> 186/2011 art 4:</w:t>
      </w:r>
    </w:p>
    <w:bookmarkEnd w:id="27"/>
    <w:p w14:paraId="4D342B4B" w14:textId="274A4CA6" w:rsidR="005A3FE2" w:rsidRPr="00BC2731" w:rsidRDefault="005A3FE2" w:rsidP="085B2EC0">
      <w:pPr>
        <w:pStyle w:val="Paragrafoelenco"/>
        <w:numPr>
          <w:ilvl w:val="0"/>
          <w:numId w:val="22"/>
        </w:numPr>
        <w:spacing w:before="80" w:after="120" w:line="264" w:lineRule="auto"/>
        <w:jc w:val="both"/>
        <w:rPr>
          <w:rFonts w:ascii="Calibri" w:eastAsia="Times New Roman" w:hAnsi="Calibri" w:cs="Arial"/>
          <w:b/>
          <w:bCs/>
          <w:i/>
          <w:iCs/>
          <w:color w:val="4472C4" w:themeColor="accent1"/>
          <w:lang w:eastAsia="it-IT"/>
        </w:rPr>
      </w:pPr>
      <w:r w:rsidRPr="085B2EC0">
        <w:rPr>
          <w:i/>
          <w:iCs/>
          <w:color w:val="4472C4" w:themeColor="accent1"/>
        </w:rPr>
        <w:t>Art 49.1 e 49.2 del CLP: obblighi di raccolta, e di messa a disposizione delle informazioni utilizzate ai fini della classificazione e dell'etichettatura, anche in caso di cessata attività o trasferimento: 3.000 -18.000 €</w:t>
      </w:r>
      <w:r w:rsidR="0549A094" w:rsidRPr="085B2EC0">
        <w:rPr>
          <w:i/>
          <w:iCs/>
          <w:color w:val="4472C4" w:themeColor="accent1"/>
        </w:rPr>
        <w:t>.</w:t>
      </w:r>
    </w:p>
    <w:p w14:paraId="656DC392" w14:textId="77777777" w:rsidR="005A3FE2" w:rsidRPr="00BC2731" w:rsidRDefault="005A3FE2" w:rsidP="005A3FE2">
      <w:pPr>
        <w:jc w:val="both"/>
        <w:rPr>
          <w:rFonts w:ascii="Calibri" w:eastAsia="Calibri" w:hAnsi="Calibri" w:cs="Times New Roman"/>
          <w:i/>
          <w:iCs/>
          <w:color w:val="4472C4" w:themeColor="accent1"/>
        </w:rPr>
      </w:pPr>
      <w:bookmarkStart w:id="28" w:name="_Hlk58840119"/>
      <w:r w:rsidRPr="00BC2731">
        <w:rPr>
          <w:rFonts w:ascii="Calibri" w:eastAsia="Calibri" w:hAnsi="Calibri" w:cs="Times New Roman"/>
          <w:i/>
          <w:iCs/>
          <w:color w:val="4472C4" w:themeColor="accent1"/>
        </w:rPr>
        <w:lastRenderedPageBreak/>
        <w:t>Sono sanzionabili secondo il</w:t>
      </w:r>
      <w:r w:rsidRPr="00BC2731">
        <w:rPr>
          <w:i/>
          <w:iCs/>
          <w:color w:val="4472C4" w:themeColor="accent1"/>
        </w:rPr>
        <w:t xml:space="preserve"> </w:t>
      </w:r>
      <w:proofErr w:type="spellStart"/>
      <w:r w:rsidRPr="00BC2731">
        <w:rPr>
          <w:i/>
          <w:iCs/>
          <w:color w:val="4472C4" w:themeColor="accent1"/>
        </w:rPr>
        <w:t>d.lgs</w:t>
      </w:r>
      <w:proofErr w:type="spellEnd"/>
      <w:r w:rsidRPr="00BC2731">
        <w:rPr>
          <w:i/>
          <w:iCs/>
          <w:color w:val="4472C4" w:themeColor="accent1"/>
        </w:rPr>
        <w:t xml:space="preserve"> 186/2011 art 7:</w:t>
      </w:r>
    </w:p>
    <w:bookmarkEnd w:id="28"/>
    <w:p w14:paraId="3EF4A463" w14:textId="6570056C" w:rsidR="005A3FE2" w:rsidRPr="00BC2731" w:rsidRDefault="005A3FE2" w:rsidP="085B2EC0">
      <w:pPr>
        <w:pStyle w:val="Paragrafoelenco"/>
        <w:numPr>
          <w:ilvl w:val="0"/>
          <w:numId w:val="22"/>
        </w:numPr>
        <w:spacing w:before="80" w:after="120" w:line="264" w:lineRule="auto"/>
        <w:jc w:val="both"/>
        <w:rPr>
          <w:i/>
          <w:iCs/>
          <w:color w:val="4472C4" w:themeColor="accent1"/>
        </w:rPr>
      </w:pPr>
      <w:r w:rsidRPr="085B2EC0">
        <w:rPr>
          <w:i/>
          <w:iCs/>
          <w:color w:val="4472C4" w:themeColor="accent1"/>
        </w:rPr>
        <w:t>Art 17.1 del CLP: contenuto dell’etichetta: l’inadempienza del fornitore è sanzionata 5.000 – 30.000</w:t>
      </w:r>
      <w:r w:rsidR="6AD23F6C" w:rsidRPr="085B2EC0">
        <w:rPr>
          <w:i/>
          <w:iCs/>
          <w:color w:val="4472C4" w:themeColor="accent1"/>
        </w:rPr>
        <w:t xml:space="preserve"> </w:t>
      </w:r>
      <w:r w:rsidRPr="085B2EC0">
        <w:rPr>
          <w:i/>
          <w:iCs/>
          <w:color w:val="4472C4" w:themeColor="accent1"/>
        </w:rPr>
        <w:t>€</w:t>
      </w:r>
      <w:r w:rsidR="7B8F2BD5" w:rsidRPr="085B2EC0">
        <w:rPr>
          <w:i/>
          <w:iCs/>
          <w:color w:val="4472C4" w:themeColor="accent1"/>
        </w:rPr>
        <w:t>;</w:t>
      </w:r>
    </w:p>
    <w:p w14:paraId="4A533677" w14:textId="6D9E4BDB" w:rsidR="005A3FE2" w:rsidRPr="00427691" w:rsidRDefault="005A3FE2" w:rsidP="085B2EC0">
      <w:pPr>
        <w:pStyle w:val="Paragrafoelenco"/>
        <w:numPr>
          <w:ilvl w:val="0"/>
          <w:numId w:val="22"/>
        </w:numPr>
        <w:spacing w:before="80" w:after="120" w:line="264" w:lineRule="auto"/>
        <w:jc w:val="both"/>
        <w:rPr>
          <w:rFonts w:ascii="Calibri" w:eastAsia="Times New Roman" w:hAnsi="Calibri" w:cs="Arial"/>
          <w:b/>
          <w:bCs/>
          <w:i/>
          <w:iCs/>
          <w:color w:val="4472C4" w:themeColor="accent1"/>
          <w:lang w:eastAsia="it-IT"/>
        </w:rPr>
      </w:pPr>
      <w:r w:rsidRPr="085B2EC0">
        <w:rPr>
          <w:i/>
          <w:iCs/>
          <w:color w:val="4472C4" w:themeColor="accent1"/>
        </w:rPr>
        <w:t>Art 17.2 del CLP: etichetta non in lingua italiana: l’inadempienza del fornitore è sanzionata 3.000 – 18.000 €</w:t>
      </w:r>
      <w:r w:rsidR="3323E8A4" w:rsidRPr="085B2EC0">
        <w:rPr>
          <w:i/>
          <w:iCs/>
          <w:color w:val="4472C4" w:themeColor="accent1"/>
        </w:rPr>
        <w:t>;</w:t>
      </w:r>
    </w:p>
    <w:p w14:paraId="0CAFA66F" w14:textId="78CFFBEB" w:rsidR="00427691" w:rsidRDefault="00427691" w:rsidP="00427691">
      <w:pPr>
        <w:spacing w:before="80" w:after="120" w:line="264" w:lineRule="auto"/>
        <w:jc w:val="both"/>
        <w:rPr>
          <w:rFonts w:ascii="Calibri" w:eastAsia="Times New Roman" w:hAnsi="Calibri" w:cs="Arial"/>
          <w:b/>
          <w:bCs/>
          <w:i/>
          <w:iCs/>
          <w:color w:val="4472C4" w:themeColor="accent1"/>
          <w:lang w:eastAsia="it-IT"/>
        </w:rPr>
      </w:pPr>
    </w:p>
    <w:bookmarkEnd w:id="21"/>
    <w:p w14:paraId="67722462" w14:textId="77777777" w:rsidR="001D654C" w:rsidRPr="00BC2731" w:rsidRDefault="001D654C" w:rsidP="001040BC">
      <w:pPr>
        <w:spacing w:before="80" w:after="120" w:line="264" w:lineRule="auto"/>
        <w:jc w:val="both"/>
        <w:rPr>
          <w:rFonts w:ascii="Calibri" w:eastAsia="Times New Roman" w:hAnsi="Calibri" w:cs="Arial"/>
          <w:i/>
          <w:color w:val="4472C4" w:themeColor="accent1"/>
          <w:lang w:eastAsia="it-IT"/>
        </w:rPr>
      </w:pPr>
    </w:p>
    <w:p w14:paraId="54A8F561" w14:textId="68DC862A" w:rsidR="001D654C" w:rsidRPr="00427691" w:rsidRDefault="00427691" w:rsidP="00C62E96">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29" w:name="_Toc126664575"/>
      <w:r w:rsidRPr="00427691">
        <w:rPr>
          <w:rFonts w:ascii="Calibri" w:eastAsia="Times New Roman" w:hAnsi="Calibri" w:cs="Times New Roman"/>
          <w:b/>
          <w:iCs/>
          <w:snapToGrid w:val="0"/>
          <w:sz w:val="24"/>
          <w:szCs w:val="20"/>
          <w:lang w:eastAsia="it-IT"/>
        </w:rPr>
        <w:t>SCHEDA DATI DI SICUREZZA</w:t>
      </w:r>
      <w:bookmarkEnd w:id="29"/>
    </w:p>
    <w:p w14:paraId="6F13E334" w14:textId="77777777" w:rsidR="00427691" w:rsidRDefault="00427691" w:rsidP="001F2B93">
      <w:pPr>
        <w:spacing w:before="80" w:after="120" w:line="264" w:lineRule="auto"/>
        <w:jc w:val="both"/>
        <w:rPr>
          <w:b/>
          <w:bCs/>
          <w:u w:val="single"/>
        </w:rPr>
      </w:pPr>
    </w:p>
    <w:p w14:paraId="299950C4" w14:textId="41F44FDF" w:rsidR="004B70AD" w:rsidRPr="004A27E4" w:rsidRDefault="004B70AD"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0" w:name="_Toc126664576"/>
      <w:r w:rsidRPr="004A27E4">
        <w:rPr>
          <w:rFonts w:ascii="Calibri" w:eastAsia="Times New Roman" w:hAnsi="Calibri" w:cs="Times New Roman"/>
          <w:b/>
          <w:iCs/>
          <w:snapToGrid w:val="0"/>
          <w:sz w:val="24"/>
          <w:szCs w:val="20"/>
          <w:lang w:eastAsia="it-IT"/>
        </w:rPr>
        <w:t>Obbligo di fornire una SDS secondo il REACH</w:t>
      </w:r>
      <w:bookmarkEnd w:id="30"/>
    </w:p>
    <w:p w14:paraId="14E7601F" w14:textId="767CAFEB" w:rsidR="004B70AD" w:rsidRPr="001F2B93" w:rsidRDefault="004B70AD" w:rsidP="004B70AD">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Riferimenti: art.31</w:t>
      </w:r>
      <w:r w:rsidR="002F0F1A">
        <w:rPr>
          <w:rFonts w:ascii="Calibri" w:eastAsia="Times New Roman" w:hAnsi="Calibri" w:cs="Arial"/>
          <w:i/>
          <w:lang w:eastAsia="it-IT"/>
        </w:rPr>
        <w:t xml:space="preserve"> a), b), c)</w:t>
      </w:r>
      <w:r w:rsidRPr="001F2B93">
        <w:rPr>
          <w:rFonts w:ascii="Calibri" w:eastAsia="Times New Roman" w:hAnsi="Calibri" w:cs="Arial"/>
          <w:i/>
          <w:lang w:eastAsia="it-IT"/>
        </w:rPr>
        <w:t xml:space="preserve"> </w:t>
      </w:r>
    </w:p>
    <w:p w14:paraId="0B5F4900" w14:textId="27D2C619" w:rsidR="004B70AD" w:rsidRDefault="004B70AD" w:rsidP="004B70AD">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Linee guida:</w:t>
      </w:r>
      <w:r w:rsidRPr="001F2B93">
        <w:rPr>
          <w:rFonts w:ascii="Calibri" w:eastAsia="Times New Roman" w:hAnsi="Calibri" w:cs="Times New Roman"/>
          <w:szCs w:val="20"/>
          <w:lang w:eastAsia="it-IT"/>
        </w:rPr>
        <w:t xml:space="preserve"> </w:t>
      </w:r>
      <w:r w:rsidRPr="001F2B93">
        <w:rPr>
          <w:rFonts w:ascii="Calibri" w:eastAsia="Times New Roman" w:hAnsi="Calibri" w:cs="Arial"/>
          <w:i/>
          <w:lang w:eastAsia="it-IT"/>
        </w:rPr>
        <w:t>Orientamenti sulla compilazione delle schede di dati di sicurezza Versione 3.1Novembre 2015,</w:t>
      </w:r>
      <w:r w:rsidRPr="001F2B93">
        <w:rPr>
          <w:rFonts w:ascii="Calibri" w:eastAsia="Times New Roman" w:hAnsi="Calibri" w:cs="Times New Roman"/>
          <w:szCs w:val="20"/>
          <w:lang w:eastAsia="it-IT"/>
        </w:rPr>
        <w:t xml:space="preserve"> </w:t>
      </w:r>
      <w:r w:rsidRPr="001F2B93">
        <w:rPr>
          <w:rFonts w:ascii="Calibri" w:eastAsia="Times New Roman" w:hAnsi="Calibri" w:cs="Arial"/>
          <w:i/>
          <w:lang w:eastAsia="it-IT"/>
        </w:rPr>
        <w:t xml:space="preserve">Guida sulle schede di dati di sicurezza e sugli scenari d’esposizione </w:t>
      </w:r>
      <w:r w:rsidR="002F0F1A" w:rsidRPr="001F2B93">
        <w:rPr>
          <w:rFonts w:ascii="Calibri" w:eastAsia="Times New Roman" w:hAnsi="Calibri" w:cs="Arial"/>
          <w:i/>
          <w:lang w:eastAsia="it-IT"/>
        </w:rPr>
        <w:t>giugno</w:t>
      </w:r>
      <w:r w:rsidRPr="001F2B93">
        <w:rPr>
          <w:rFonts w:ascii="Calibri" w:eastAsia="Times New Roman" w:hAnsi="Calibri" w:cs="Arial"/>
          <w:i/>
          <w:lang w:eastAsia="it-IT"/>
        </w:rPr>
        <w:t xml:space="preserve"> 2018</w:t>
      </w:r>
    </w:p>
    <w:p w14:paraId="31C65E1C" w14:textId="11B37D19" w:rsidR="004B70AD" w:rsidRPr="004A27E4" w:rsidRDefault="002F3D40"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1" w:name="_Toc126664577"/>
      <w:r>
        <w:rPr>
          <w:rFonts w:ascii="Calibri" w:eastAsia="Times New Roman" w:hAnsi="Calibri" w:cs="Times New Roman"/>
          <w:b/>
          <w:iCs/>
          <w:snapToGrid w:val="0"/>
          <w:sz w:val="24"/>
          <w:szCs w:val="20"/>
          <w:lang w:eastAsia="it-IT"/>
        </w:rPr>
        <w:t>9</w:t>
      </w:r>
      <w:r w:rsidR="002F0F1A" w:rsidRPr="004A27E4">
        <w:rPr>
          <w:rFonts w:ascii="Calibri" w:eastAsia="Times New Roman" w:hAnsi="Calibri" w:cs="Times New Roman"/>
          <w:b/>
          <w:iCs/>
          <w:snapToGrid w:val="0"/>
          <w:sz w:val="24"/>
          <w:szCs w:val="20"/>
          <w:lang w:eastAsia="it-IT"/>
        </w:rPr>
        <w:t>-</w:t>
      </w:r>
      <w:r w:rsidR="004B70AD" w:rsidRPr="004A27E4">
        <w:rPr>
          <w:rFonts w:ascii="Calibri" w:eastAsia="Times New Roman" w:hAnsi="Calibri" w:cs="Times New Roman"/>
          <w:b/>
          <w:iCs/>
          <w:snapToGrid w:val="0"/>
          <w:sz w:val="24"/>
          <w:szCs w:val="20"/>
          <w:lang w:eastAsia="it-IT"/>
        </w:rPr>
        <w:t>a) se una sostanza o una miscela risponde ai criteri di classificazione come pericolosa secondo il CLP</w:t>
      </w:r>
      <w:bookmarkEnd w:id="31"/>
    </w:p>
    <w:p w14:paraId="1E949826" w14:textId="2B21E4E1" w:rsidR="004B70AD" w:rsidRPr="004A27E4" w:rsidRDefault="002F3D40"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2" w:name="_Toc126664578"/>
      <w:r>
        <w:rPr>
          <w:rFonts w:ascii="Calibri" w:eastAsia="Times New Roman" w:hAnsi="Calibri" w:cs="Times New Roman"/>
          <w:b/>
          <w:iCs/>
          <w:snapToGrid w:val="0"/>
          <w:sz w:val="24"/>
          <w:szCs w:val="20"/>
          <w:lang w:eastAsia="it-IT"/>
        </w:rPr>
        <w:t>10</w:t>
      </w:r>
      <w:r w:rsidR="002F0F1A" w:rsidRPr="004A27E4">
        <w:rPr>
          <w:rFonts w:ascii="Calibri" w:eastAsia="Times New Roman" w:hAnsi="Calibri" w:cs="Times New Roman"/>
          <w:b/>
          <w:iCs/>
          <w:snapToGrid w:val="0"/>
          <w:sz w:val="24"/>
          <w:szCs w:val="20"/>
          <w:lang w:eastAsia="it-IT"/>
        </w:rPr>
        <w:t>-</w:t>
      </w:r>
      <w:r w:rsidR="004B70AD" w:rsidRPr="004A27E4">
        <w:rPr>
          <w:rFonts w:ascii="Calibri" w:eastAsia="Times New Roman" w:hAnsi="Calibri" w:cs="Times New Roman"/>
          <w:b/>
          <w:iCs/>
          <w:snapToGrid w:val="0"/>
          <w:sz w:val="24"/>
          <w:szCs w:val="20"/>
          <w:lang w:eastAsia="it-IT"/>
        </w:rPr>
        <w:t>b) quando una sostanza è persistente, bioaccumulabile e tossica (PBT), ovvero molto persistente e molto bioaccumulabile (</w:t>
      </w:r>
      <w:proofErr w:type="spellStart"/>
      <w:r w:rsidR="004B70AD" w:rsidRPr="004A27E4">
        <w:rPr>
          <w:rFonts w:ascii="Calibri" w:eastAsia="Times New Roman" w:hAnsi="Calibri" w:cs="Times New Roman"/>
          <w:b/>
          <w:iCs/>
          <w:snapToGrid w:val="0"/>
          <w:sz w:val="24"/>
          <w:szCs w:val="20"/>
          <w:lang w:eastAsia="it-IT"/>
        </w:rPr>
        <w:t>vPvB</w:t>
      </w:r>
      <w:proofErr w:type="spellEnd"/>
      <w:r w:rsidR="004B70AD" w:rsidRPr="004A27E4">
        <w:rPr>
          <w:rFonts w:ascii="Calibri" w:eastAsia="Times New Roman" w:hAnsi="Calibri" w:cs="Times New Roman"/>
          <w:b/>
          <w:iCs/>
          <w:snapToGrid w:val="0"/>
          <w:sz w:val="24"/>
          <w:szCs w:val="20"/>
          <w:lang w:eastAsia="it-IT"/>
        </w:rPr>
        <w:t>) in base ai criteri di cui all’allegato XIII del REACH;</w:t>
      </w:r>
      <w:bookmarkEnd w:id="32"/>
    </w:p>
    <w:p w14:paraId="10C3BE3E" w14:textId="40BC7403" w:rsidR="004B70AD" w:rsidRPr="004A27E4" w:rsidRDefault="002F3D40"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3" w:name="_Toc126664579"/>
      <w:r>
        <w:rPr>
          <w:rFonts w:ascii="Calibri" w:eastAsia="Times New Roman" w:hAnsi="Calibri" w:cs="Times New Roman"/>
          <w:b/>
          <w:iCs/>
          <w:snapToGrid w:val="0"/>
          <w:sz w:val="24"/>
          <w:szCs w:val="20"/>
          <w:lang w:eastAsia="it-IT"/>
        </w:rPr>
        <w:t>11</w:t>
      </w:r>
      <w:r w:rsidR="002F0F1A" w:rsidRPr="004A27E4">
        <w:rPr>
          <w:rFonts w:ascii="Calibri" w:eastAsia="Times New Roman" w:hAnsi="Calibri" w:cs="Times New Roman"/>
          <w:b/>
          <w:iCs/>
          <w:snapToGrid w:val="0"/>
          <w:sz w:val="24"/>
          <w:szCs w:val="20"/>
          <w:lang w:eastAsia="it-IT"/>
        </w:rPr>
        <w:t>-</w:t>
      </w:r>
      <w:r w:rsidR="004B70AD" w:rsidRPr="004A27E4">
        <w:rPr>
          <w:rFonts w:ascii="Calibri" w:eastAsia="Times New Roman" w:hAnsi="Calibri" w:cs="Times New Roman"/>
          <w:b/>
          <w:iCs/>
          <w:snapToGrid w:val="0"/>
          <w:sz w:val="24"/>
          <w:szCs w:val="20"/>
          <w:lang w:eastAsia="it-IT"/>
        </w:rPr>
        <w:t>c) quando una sostanza è inclusa nell'elenco stabilito a norma dell'articolo 59, par. 1 (candidate list) per ragioni diverse da</w:t>
      </w:r>
      <w:r w:rsidR="002F0F1A" w:rsidRPr="004A27E4">
        <w:rPr>
          <w:rFonts w:ascii="Calibri" w:eastAsia="Times New Roman" w:hAnsi="Calibri" w:cs="Times New Roman"/>
          <w:b/>
          <w:iCs/>
          <w:snapToGrid w:val="0"/>
          <w:sz w:val="24"/>
          <w:szCs w:val="20"/>
          <w:lang w:eastAsia="it-IT"/>
        </w:rPr>
        <w:t xml:space="preserve"> </w:t>
      </w:r>
      <w:r w:rsidR="004B70AD" w:rsidRPr="004A27E4">
        <w:rPr>
          <w:rFonts w:ascii="Calibri" w:eastAsia="Times New Roman" w:hAnsi="Calibri" w:cs="Times New Roman"/>
          <w:b/>
          <w:iCs/>
          <w:snapToGrid w:val="0"/>
          <w:sz w:val="24"/>
          <w:szCs w:val="20"/>
          <w:lang w:eastAsia="it-IT"/>
        </w:rPr>
        <w:t>quelle di cui alle lettere a) e b).</w:t>
      </w:r>
      <w:bookmarkEnd w:id="33"/>
    </w:p>
    <w:p w14:paraId="23FF2DD2" w14:textId="77777777" w:rsidR="004B70AD" w:rsidRPr="001F2B93" w:rsidRDefault="004B70AD" w:rsidP="004B70AD">
      <w:pPr>
        <w:spacing w:before="80" w:after="120" w:line="264" w:lineRule="auto"/>
        <w:jc w:val="both"/>
        <w:rPr>
          <w:rFonts w:ascii="Calibri" w:eastAsia="Times New Roman" w:hAnsi="Calibri" w:cs="Arial"/>
          <w:i/>
          <w:lang w:eastAsia="it-IT"/>
        </w:rPr>
      </w:pPr>
    </w:p>
    <w:p w14:paraId="6BC9499F" w14:textId="77777777" w:rsidR="002F0F1A" w:rsidRPr="004A27E4" w:rsidRDefault="002F0F1A"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4" w:name="_Toc126664580"/>
      <w:r w:rsidRPr="004A27E4">
        <w:rPr>
          <w:rFonts w:ascii="Calibri" w:eastAsia="Times New Roman" w:hAnsi="Calibri" w:cs="Times New Roman"/>
          <w:b/>
          <w:iCs/>
          <w:snapToGrid w:val="0"/>
          <w:sz w:val="24"/>
          <w:szCs w:val="20"/>
          <w:lang w:eastAsia="it-IT"/>
        </w:rPr>
        <w:t>Obbligo di fornire una SDS su richiesta secondo l’</w:t>
      </w:r>
      <w:proofErr w:type="spellStart"/>
      <w:r w:rsidRPr="004A27E4">
        <w:rPr>
          <w:rFonts w:ascii="Calibri" w:eastAsia="Times New Roman" w:hAnsi="Calibri" w:cs="Times New Roman"/>
          <w:b/>
          <w:iCs/>
          <w:snapToGrid w:val="0"/>
          <w:sz w:val="24"/>
          <w:szCs w:val="20"/>
          <w:lang w:eastAsia="it-IT"/>
        </w:rPr>
        <w:t>All</w:t>
      </w:r>
      <w:proofErr w:type="spellEnd"/>
      <w:r w:rsidRPr="004A27E4">
        <w:rPr>
          <w:rFonts w:ascii="Calibri" w:eastAsia="Times New Roman" w:hAnsi="Calibri" w:cs="Times New Roman"/>
          <w:b/>
          <w:iCs/>
          <w:snapToGrid w:val="0"/>
          <w:sz w:val="24"/>
          <w:szCs w:val="20"/>
          <w:lang w:eastAsia="it-IT"/>
        </w:rPr>
        <w:t>. II Regolamento REACH</w:t>
      </w:r>
      <w:bookmarkEnd w:id="34"/>
    </w:p>
    <w:p w14:paraId="23A39B17" w14:textId="40353F7A" w:rsidR="002F0F1A" w:rsidRPr="002F0F1A" w:rsidRDefault="002F0F1A" w:rsidP="004B70AD">
      <w:pPr>
        <w:spacing w:before="80" w:after="120" w:line="264" w:lineRule="auto"/>
        <w:jc w:val="both"/>
        <w:rPr>
          <w:rFonts w:ascii="Calibri" w:eastAsia="Times New Roman" w:hAnsi="Calibri" w:cs="Arial"/>
          <w:iCs/>
          <w:color w:val="000000" w:themeColor="text1"/>
          <w:lang w:eastAsia="it-IT"/>
        </w:rPr>
      </w:pPr>
      <w:r w:rsidRPr="002F0F1A">
        <w:rPr>
          <w:rFonts w:ascii="Calibri" w:eastAsia="Times New Roman" w:hAnsi="Calibri" w:cs="Arial"/>
          <w:iCs/>
          <w:color w:val="000000" w:themeColor="text1"/>
          <w:lang w:eastAsia="it-IT"/>
        </w:rPr>
        <w:t>il fornitore trasmette al destinatario, a richiesta, una SDS di una miscela non pericolosa secondo il CLP, ma che contiene:</w:t>
      </w:r>
    </w:p>
    <w:p w14:paraId="40BF11CA" w14:textId="6F9326A4" w:rsidR="002F0F1A" w:rsidRDefault="002F0F1A" w:rsidP="004B70AD">
      <w:pPr>
        <w:spacing w:before="80" w:after="120" w:line="264" w:lineRule="auto"/>
        <w:jc w:val="both"/>
        <w:rPr>
          <w:rFonts w:ascii="Calibri" w:eastAsia="Times New Roman" w:hAnsi="Calibri" w:cs="Arial"/>
          <w:iCs/>
          <w:color w:val="000000" w:themeColor="text1"/>
          <w:lang w:eastAsia="it-IT"/>
        </w:rPr>
      </w:pPr>
      <w:r w:rsidRPr="002F0F1A">
        <w:rPr>
          <w:rFonts w:ascii="Calibri" w:eastAsia="Times New Roman" w:hAnsi="Calibri" w:cs="Arial"/>
          <w:iCs/>
          <w:color w:val="000000" w:themeColor="text1"/>
          <w:lang w:eastAsia="it-IT"/>
        </w:rPr>
        <w:t>Riferimenti: art.31</w:t>
      </w:r>
      <w:r>
        <w:rPr>
          <w:rFonts w:ascii="Calibri" w:eastAsia="Times New Roman" w:hAnsi="Calibri" w:cs="Arial"/>
          <w:iCs/>
          <w:color w:val="000000" w:themeColor="text1"/>
          <w:lang w:eastAsia="it-IT"/>
        </w:rPr>
        <w:t xml:space="preserve"> (3)</w:t>
      </w:r>
    </w:p>
    <w:p w14:paraId="3AACBC83" w14:textId="43FB870A" w:rsidR="002F0F1A"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5" w:name="_Toc126664581"/>
      <w:r>
        <w:rPr>
          <w:rFonts w:ascii="Calibri" w:eastAsia="Times New Roman" w:hAnsi="Calibri" w:cs="Times New Roman"/>
          <w:b/>
          <w:iCs/>
          <w:snapToGrid w:val="0"/>
          <w:sz w:val="24"/>
          <w:szCs w:val="20"/>
          <w:lang w:eastAsia="it-IT"/>
        </w:rPr>
        <w:t>12</w:t>
      </w:r>
      <w:r w:rsidR="002F0F1A" w:rsidRPr="004A27E4">
        <w:rPr>
          <w:rFonts w:ascii="Calibri" w:eastAsia="Times New Roman" w:hAnsi="Calibri" w:cs="Times New Roman"/>
          <w:b/>
          <w:iCs/>
          <w:snapToGrid w:val="0"/>
          <w:sz w:val="24"/>
          <w:szCs w:val="20"/>
          <w:lang w:eastAsia="it-IT"/>
        </w:rPr>
        <w:t>-a) in una concentrazione individuale ≥ 1% in peso per le miscele non gassose e in una concentrazione individuale ≥ 0,2 % in volume per le miscele gassose, almeno una sostanza che presenta rischi per la salute umana o l'ambiente; oppure</w:t>
      </w:r>
      <w:bookmarkEnd w:id="35"/>
    </w:p>
    <w:p w14:paraId="7B3E471A" w14:textId="0696E162" w:rsidR="002F0F1A"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6" w:name="_Toc126664582"/>
      <w:r>
        <w:rPr>
          <w:rFonts w:ascii="Calibri" w:eastAsia="Times New Roman" w:hAnsi="Calibri" w:cs="Times New Roman"/>
          <w:b/>
          <w:iCs/>
          <w:snapToGrid w:val="0"/>
          <w:sz w:val="24"/>
          <w:szCs w:val="20"/>
          <w:lang w:eastAsia="it-IT"/>
        </w:rPr>
        <w:t>13</w:t>
      </w:r>
      <w:r w:rsidR="002F0F1A" w:rsidRPr="004A27E4">
        <w:rPr>
          <w:rFonts w:ascii="Calibri" w:eastAsia="Times New Roman" w:hAnsi="Calibri" w:cs="Times New Roman"/>
          <w:b/>
          <w:iCs/>
          <w:snapToGrid w:val="0"/>
          <w:sz w:val="24"/>
          <w:szCs w:val="20"/>
          <w:lang w:eastAsia="it-IT"/>
        </w:rPr>
        <w:t>-b) in una concentrazione individuale ≥ 0,1% in peso per le miscele non gassose, almeno una sostanza che è cancerogena di categoria 2 o tossica per la riproduzione di categoria 1A, 1B e 2, sensibilizzante della pelle di categoria 1, sensibilizzante delle vie respiratorie di categoria 1 oppure ha effetti sull'allattamento o attraverso l'allattamento è persistente, bioaccumulabile e tossica (PBT) molto persistente e molto bioaccumulabile (</w:t>
      </w:r>
      <w:proofErr w:type="spellStart"/>
      <w:r w:rsidR="002F0F1A" w:rsidRPr="004A27E4">
        <w:rPr>
          <w:rFonts w:ascii="Calibri" w:eastAsia="Times New Roman" w:hAnsi="Calibri" w:cs="Times New Roman"/>
          <w:b/>
          <w:iCs/>
          <w:snapToGrid w:val="0"/>
          <w:sz w:val="24"/>
          <w:szCs w:val="20"/>
          <w:lang w:eastAsia="it-IT"/>
        </w:rPr>
        <w:t>vPvB</w:t>
      </w:r>
      <w:proofErr w:type="spellEnd"/>
      <w:r w:rsidR="002F0F1A" w:rsidRPr="004A27E4">
        <w:rPr>
          <w:rFonts w:ascii="Calibri" w:eastAsia="Times New Roman" w:hAnsi="Calibri" w:cs="Times New Roman"/>
          <w:b/>
          <w:iCs/>
          <w:snapToGrid w:val="0"/>
          <w:sz w:val="24"/>
          <w:szCs w:val="20"/>
          <w:lang w:eastAsia="it-IT"/>
        </w:rPr>
        <w:t>);</w:t>
      </w:r>
      <w:bookmarkEnd w:id="36"/>
    </w:p>
    <w:p w14:paraId="2A4F99C7" w14:textId="3BE39D7E" w:rsidR="002F0F1A"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7" w:name="_Toc126664583"/>
      <w:r>
        <w:rPr>
          <w:rFonts w:ascii="Calibri" w:eastAsia="Times New Roman" w:hAnsi="Calibri" w:cs="Times New Roman"/>
          <w:b/>
          <w:iCs/>
          <w:snapToGrid w:val="0"/>
          <w:sz w:val="24"/>
          <w:szCs w:val="20"/>
          <w:lang w:eastAsia="it-IT"/>
        </w:rPr>
        <w:t>14</w:t>
      </w:r>
      <w:r w:rsidR="002F0F1A" w:rsidRPr="004A27E4">
        <w:rPr>
          <w:rFonts w:ascii="Calibri" w:eastAsia="Times New Roman" w:hAnsi="Calibri" w:cs="Times New Roman"/>
          <w:b/>
          <w:iCs/>
          <w:snapToGrid w:val="0"/>
          <w:sz w:val="24"/>
          <w:szCs w:val="20"/>
          <w:lang w:eastAsia="it-IT"/>
        </w:rPr>
        <w:t>-c) una sostanza per la quale la normativa comunitaria fissa limiti di esposizione sul luogo di lavoro</w:t>
      </w:r>
      <w:bookmarkEnd w:id="37"/>
    </w:p>
    <w:p w14:paraId="45391C4D" w14:textId="23F160B0" w:rsidR="002F0F1A" w:rsidRPr="004A27E4" w:rsidRDefault="002F0F1A" w:rsidP="004B70AD">
      <w:pPr>
        <w:spacing w:before="80" w:after="120" w:line="264" w:lineRule="auto"/>
        <w:jc w:val="both"/>
        <w:rPr>
          <w:rFonts w:ascii="Calibri" w:eastAsia="Times New Roman" w:hAnsi="Calibri" w:cs="Times New Roman"/>
          <w:b/>
          <w:iCs/>
          <w:snapToGrid w:val="0"/>
          <w:sz w:val="24"/>
          <w:szCs w:val="20"/>
          <w:lang w:eastAsia="it-IT"/>
        </w:rPr>
      </w:pPr>
    </w:p>
    <w:p w14:paraId="1D12A015" w14:textId="77777777" w:rsidR="00BD3EE9" w:rsidRPr="004A27E4" w:rsidRDefault="00BD3EE9"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8" w:name="_Toc126664584"/>
      <w:r w:rsidRPr="004A27E4">
        <w:rPr>
          <w:rFonts w:ascii="Calibri" w:eastAsia="Times New Roman" w:hAnsi="Calibri" w:cs="Times New Roman"/>
          <w:b/>
          <w:iCs/>
          <w:snapToGrid w:val="0"/>
          <w:sz w:val="24"/>
          <w:szCs w:val="20"/>
          <w:lang w:eastAsia="it-IT"/>
        </w:rPr>
        <w:lastRenderedPageBreak/>
        <w:t>Obbligo di fornire una SDS su richiesta secondo il Regolamenti CLP</w:t>
      </w:r>
      <w:bookmarkEnd w:id="38"/>
    </w:p>
    <w:p w14:paraId="7E16F548" w14:textId="3E552C25" w:rsidR="00BD3EE9" w:rsidRDefault="00BD3EE9" w:rsidP="00BD3EE9">
      <w:pPr>
        <w:spacing w:before="80" w:after="120" w:line="264" w:lineRule="auto"/>
        <w:jc w:val="both"/>
        <w:rPr>
          <w:rFonts w:ascii="Calibri" w:eastAsia="Times New Roman" w:hAnsi="Calibri" w:cs="Arial"/>
          <w:iCs/>
          <w:color w:val="000000" w:themeColor="text1"/>
          <w:lang w:eastAsia="it-IT"/>
        </w:rPr>
      </w:pPr>
      <w:r w:rsidRPr="00BD3EE9">
        <w:rPr>
          <w:rFonts w:ascii="Calibri" w:eastAsia="Times New Roman" w:hAnsi="Calibri" w:cs="Arial"/>
          <w:iCs/>
          <w:color w:val="000000" w:themeColor="text1"/>
          <w:lang w:eastAsia="it-IT"/>
        </w:rPr>
        <w:t>Miscele non destinate alla “vendita al pubblico”, si prescrive che sia apposta obbligatoriamente sull’etichetta la frase EUH210 "Scheda Dati di Sicurezza disponibile su richiesta" per le miscele non classificate come pericolose, ma che contengono:</w:t>
      </w:r>
    </w:p>
    <w:p w14:paraId="374CEAD2" w14:textId="7C699427" w:rsidR="00BD3EE9" w:rsidRDefault="00BD3EE9" w:rsidP="00BD3EE9">
      <w:pPr>
        <w:spacing w:before="80" w:after="120" w:line="264" w:lineRule="auto"/>
        <w:jc w:val="both"/>
        <w:rPr>
          <w:rFonts w:ascii="Calibri" w:eastAsia="Times New Roman" w:hAnsi="Calibri" w:cs="Arial"/>
          <w:iCs/>
          <w:color w:val="000000" w:themeColor="text1"/>
          <w:lang w:eastAsia="it-IT"/>
        </w:rPr>
      </w:pPr>
      <w:r w:rsidRPr="002F0F1A">
        <w:rPr>
          <w:rFonts w:ascii="Calibri" w:eastAsia="Times New Roman" w:hAnsi="Calibri" w:cs="Arial"/>
          <w:iCs/>
          <w:color w:val="000000" w:themeColor="text1"/>
          <w:lang w:eastAsia="it-IT"/>
        </w:rPr>
        <w:t xml:space="preserve">Riferimenti: </w:t>
      </w:r>
      <w:proofErr w:type="spellStart"/>
      <w:r w:rsidRPr="00BD3EE9">
        <w:rPr>
          <w:rFonts w:ascii="Calibri" w:eastAsia="Times New Roman" w:hAnsi="Calibri" w:cs="Arial"/>
          <w:iCs/>
          <w:color w:val="000000" w:themeColor="text1"/>
          <w:lang w:eastAsia="it-IT"/>
        </w:rPr>
        <w:t>All</w:t>
      </w:r>
      <w:proofErr w:type="spellEnd"/>
      <w:r w:rsidRPr="00BD3EE9">
        <w:rPr>
          <w:rFonts w:ascii="Calibri" w:eastAsia="Times New Roman" w:hAnsi="Calibri" w:cs="Arial"/>
          <w:iCs/>
          <w:color w:val="000000" w:themeColor="text1"/>
          <w:lang w:eastAsia="it-IT"/>
        </w:rPr>
        <w:t>. II 2.10</w:t>
      </w:r>
    </w:p>
    <w:p w14:paraId="5146883B" w14:textId="0B513E41" w:rsidR="00BD3EE9"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39" w:name="_Toc126664585"/>
      <w:r>
        <w:rPr>
          <w:rFonts w:ascii="Calibri" w:eastAsia="Times New Roman" w:hAnsi="Calibri" w:cs="Times New Roman"/>
          <w:b/>
          <w:iCs/>
          <w:snapToGrid w:val="0"/>
          <w:sz w:val="24"/>
          <w:szCs w:val="20"/>
          <w:lang w:eastAsia="it-IT"/>
        </w:rPr>
        <w:t>15</w:t>
      </w:r>
      <w:r w:rsidR="00BD3EE9" w:rsidRPr="004A27E4">
        <w:rPr>
          <w:rFonts w:ascii="Calibri" w:eastAsia="Times New Roman" w:hAnsi="Calibri" w:cs="Times New Roman"/>
          <w:b/>
          <w:iCs/>
          <w:snapToGrid w:val="0"/>
          <w:sz w:val="24"/>
          <w:szCs w:val="20"/>
          <w:lang w:eastAsia="it-IT"/>
        </w:rPr>
        <w:t>-a) ≥ 0,1 % di sostanze classificate come sensibilizzanti della pelle di categoria 1, 1B, sensibilizzanti delle vie respiratorie di categoria 1, 1B, o cancerogene di categoria 2</w:t>
      </w:r>
      <w:bookmarkEnd w:id="39"/>
    </w:p>
    <w:p w14:paraId="06D06F8B" w14:textId="3D1E51A3" w:rsidR="00BD3EE9"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0" w:name="_Toc126664586"/>
      <w:r>
        <w:rPr>
          <w:rFonts w:ascii="Calibri" w:eastAsia="Times New Roman" w:hAnsi="Calibri" w:cs="Times New Roman"/>
          <w:b/>
          <w:iCs/>
          <w:snapToGrid w:val="0"/>
          <w:sz w:val="24"/>
          <w:szCs w:val="20"/>
          <w:lang w:eastAsia="it-IT"/>
        </w:rPr>
        <w:t>16</w:t>
      </w:r>
      <w:r w:rsidR="00BD3EE9" w:rsidRPr="004A27E4">
        <w:rPr>
          <w:rFonts w:ascii="Calibri" w:eastAsia="Times New Roman" w:hAnsi="Calibri" w:cs="Times New Roman"/>
          <w:b/>
          <w:iCs/>
          <w:snapToGrid w:val="0"/>
          <w:sz w:val="24"/>
          <w:szCs w:val="20"/>
          <w:lang w:eastAsia="it-IT"/>
        </w:rPr>
        <w:t>-b) ≥ 0,01 % di sostanze classificate come sensibilizzanti della pelle di categoria 1A, sensibilizzanti delle vie</w:t>
      </w:r>
      <w:r w:rsidR="004A27E4">
        <w:rPr>
          <w:rFonts w:ascii="Calibri" w:eastAsia="Times New Roman" w:hAnsi="Calibri" w:cs="Times New Roman"/>
          <w:b/>
          <w:iCs/>
          <w:snapToGrid w:val="0"/>
          <w:sz w:val="24"/>
          <w:szCs w:val="20"/>
          <w:lang w:eastAsia="it-IT"/>
        </w:rPr>
        <w:t xml:space="preserve"> </w:t>
      </w:r>
      <w:r w:rsidR="00BD3EE9" w:rsidRPr="004A27E4">
        <w:rPr>
          <w:rFonts w:ascii="Calibri" w:eastAsia="Times New Roman" w:hAnsi="Calibri" w:cs="Times New Roman"/>
          <w:b/>
          <w:iCs/>
          <w:snapToGrid w:val="0"/>
          <w:sz w:val="24"/>
          <w:szCs w:val="20"/>
          <w:lang w:eastAsia="it-IT"/>
        </w:rPr>
        <w:t>respiratorie di categoria 1A,</w:t>
      </w:r>
      <w:bookmarkEnd w:id="40"/>
    </w:p>
    <w:p w14:paraId="0553D774" w14:textId="44015D11" w:rsidR="00BD3EE9"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1" w:name="_Toc126664587"/>
      <w:r>
        <w:rPr>
          <w:rFonts w:ascii="Calibri" w:eastAsia="Times New Roman" w:hAnsi="Calibri" w:cs="Times New Roman"/>
          <w:b/>
          <w:iCs/>
          <w:snapToGrid w:val="0"/>
          <w:sz w:val="24"/>
          <w:szCs w:val="20"/>
          <w:lang w:eastAsia="it-IT"/>
        </w:rPr>
        <w:t>17</w:t>
      </w:r>
      <w:r w:rsidR="00BD3EE9" w:rsidRPr="004A27E4">
        <w:rPr>
          <w:rFonts w:ascii="Calibri" w:eastAsia="Times New Roman" w:hAnsi="Calibri" w:cs="Times New Roman"/>
          <w:b/>
          <w:iCs/>
          <w:snapToGrid w:val="0"/>
          <w:sz w:val="24"/>
          <w:szCs w:val="20"/>
          <w:lang w:eastAsia="it-IT"/>
        </w:rPr>
        <w:t>-c) ≥ un decimo del limite di concentrazione specifico per una sostanza classificata come sensibilizzante della pelle o delle vie respiratorie con limite di concentrazione specifico &lt; 0,1 %,</w:t>
      </w:r>
      <w:bookmarkEnd w:id="41"/>
    </w:p>
    <w:p w14:paraId="6B2EDE84" w14:textId="08788CC5" w:rsidR="00BD3EE9"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2" w:name="_Toc126664588"/>
      <w:r>
        <w:rPr>
          <w:rFonts w:ascii="Calibri" w:eastAsia="Times New Roman" w:hAnsi="Calibri" w:cs="Times New Roman"/>
          <w:b/>
          <w:iCs/>
          <w:snapToGrid w:val="0"/>
          <w:sz w:val="24"/>
          <w:szCs w:val="20"/>
          <w:lang w:eastAsia="it-IT"/>
        </w:rPr>
        <w:t>18</w:t>
      </w:r>
      <w:r w:rsidR="00BD3EE9" w:rsidRPr="004A27E4">
        <w:rPr>
          <w:rFonts w:ascii="Calibri" w:eastAsia="Times New Roman" w:hAnsi="Calibri" w:cs="Times New Roman"/>
          <w:b/>
          <w:iCs/>
          <w:snapToGrid w:val="0"/>
          <w:sz w:val="24"/>
          <w:szCs w:val="20"/>
          <w:lang w:eastAsia="it-IT"/>
        </w:rPr>
        <w:t>-d) ≥ 0,1 % per le sostanze classificate come tossiche per la riproduzione (categorie 1A, 1B o 2) o per gli effetti</w:t>
      </w:r>
      <w:r w:rsidR="004A27E4">
        <w:rPr>
          <w:rFonts w:ascii="Calibri" w:eastAsia="Times New Roman" w:hAnsi="Calibri" w:cs="Times New Roman"/>
          <w:b/>
          <w:iCs/>
          <w:snapToGrid w:val="0"/>
          <w:sz w:val="24"/>
          <w:szCs w:val="20"/>
          <w:lang w:eastAsia="it-IT"/>
        </w:rPr>
        <w:t xml:space="preserve"> </w:t>
      </w:r>
      <w:r w:rsidR="00BD3EE9" w:rsidRPr="004A27E4">
        <w:rPr>
          <w:rFonts w:ascii="Calibri" w:eastAsia="Times New Roman" w:hAnsi="Calibri" w:cs="Times New Roman"/>
          <w:b/>
          <w:iCs/>
          <w:snapToGrid w:val="0"/>
          <w:sz w:val="24"/>
          <w:szCs w:val="20"/>
          <w:lang w:eastAsia="it-IT"/>
        </w:rPr>
        <w:t>sull’allattamento o attraverso l’allattamento</w:t>
      </w:r>
      <w:bookmarkEnd w:id="42"/>
    </w:p>
    <w:p w14:paraId="001B5116" w14:textId="345149A4" w:rsidR="00BD3EE9"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3" w:name="_Toc126664589"/>
      <w:r>
        <w:rPr>
          <w:rFonts w:ascii="Calibri" w:eastAsia="Times New Roman" w:hAnsi="Calibri" w:cs="Times New Roman"/>
          <w:b/>
          <w:iCs/>
          <w:snapToGrid w:val="0"/>
          <w:sz w:val="24"/>
          <w:szCs w:val="20"/>
          <w:lang w:eastAsia="it-IT"/>
        </w:rPr>
        <w:t>19</w:t>
      </w:r>
      <w:r w:rsidR="00BD3EE9" w:rsidRPr="004A27E4">
        <w:rPr>
          <w:rFonts w:ascii="Calibri" w:eastAsia="Times New Roman" w:hAnsi="Calibri" w:cs="Times New Roman"/>
          <w:b/>
          <w:iCs/>
          <w:snapToGrid w:val="0"/>
          <w:sz w:val="24"/>
          <w:szCs w:val="20"/>
          <w:lang w:eastAsia="it-IT"/>
        </w:rPr>
        <w:t>-e) almeno una sostanza in una concentrazione individuale ≥ 1 % in peso per le miscele non gassose e ≥ 0,2 % in volume per le miscele gassose:</w:t>
      </w:r>
      <w:bookmarkEnd w:id="43"/>
    </w:p>
    <w:p w14:paraId="33027875" w14:textId="77777777" w:rsidR="00BD3EE9" w:rsidRPr="004A27E4" w:rsidRDefault="00BD3EE9"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4" w:name="_Toc126664590"/>
      <w:r w:rsidRPr="004A27E4">
        <w:rPr>
          <w:rFonts w:ascii="Calibri" w:eastAsia="Times New Roman" w:hAnsi="Calibri" w:cs="Times New Roman"/>
          <w:b/>
          <w:iCs/>
          <w:snapToGrid w:val="0"/>
          <w:sz w:val="24"/>
          <w:szCs w:val="20"/>
          <w:lang w:eastAsia="it-IT"/>
        </w:rPr>
        <w:t>- classificata per altri pericoli per la salute o per l'ambiente; o</w:t>
      </w:r>
      <w:bookmarkEnd w:id="44"/>
    </w:p>
    <w:p w14:paraId="648B56CA" w14:textId="00D3F494" w:rsidR="00BD3EE9" w:rsidRPr="004A27E4" w:rsidRDefault="00BD3EE9"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45" w:name="_Toc126664591"/>
      <w:r w:rsidRPr="004A27E4">
        <w:rPr>
          <w:rFonts w:ascii="Calibri" w:eastAsia="Times New Roman" w:hAnsi="Calibri" w:cs="Times New Roman"/>
          <w:b/>
          <w:iCs/>
          <w:snapToGrid w:val="0"/>
          <w:sz w:val="24"/>
          <w:szCs w:val="20"/>
          <w:lang w:eastAsia="it-IT"/>
        </w:rPr>
        <w:t>- per la quale valgono limiti comunitari di esposizione nei luoghi di lavoro</w:t>
      </w:r>
      <w:bookmarkEnd w:id="45"/>
    </w:p>
    <w:p w14:paraId="5C4C2DB6" w14:textId="77777777" w:rsidR="00BD3EE9" w:rsidRPr="00BD3EE9" w:rsidRDefault="00BD3EE9" w:rsidP="00BD3EE9">
      <w:pPr>
        <w:spacing w:before="80" w:after="120" w:line="264" w:lineRule="auto"/>
        <w:jc w:val="both"/>
        <w:rPr>
          <w:rFonts w:ascii="Calibri" w:eastAsia="Times New Roman" w:hAnsi="Calibri" w:cs="Arial"/>
          <w:iCs/>
          <w:color w:val="000000" w:themeColor="text1"/>
          <w:lang w:eastAsia="it-IT"/>
        </w:rPr>
      </w:pPr>
    </w:p>
    <w:p w14:paraId="102E648C" w14:textId="5783106B"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Nel caso di articoli non si </w:t>
      </w:r>
      <w:r w:rsidR="00633625" w:rsidRPr="003A02DB">
        <w:rPr>
          <w:rFonts w:ascii="Calibri" w:eastAsia="Times New Roman" w:hAnsi="Calibri" w:cs="Arial"/>
          <w:i/>
          <w:color w:val="4472C4" w:themeColor="accent1"/>
          <w:lang w:eastAsia="it-IT"/>
        </w:rPr>
        <w:t>forniscono SDS</w:t>
      </w:r>
      <w:r w:rsidRPr="003A02DB">
        <w:rPr>
          <w:rFonts w:ascii="Calibri" w:eastAsia="Times New Roman" w:hAnsi="Calibri" w:cs="Arial"/>
          <w:i/>
          <w:color w:val="4472C4" w:themeColor="accent1"/>
          <w:lang w:eastAsia="it-IT"/>
        </w:rPr>
        <w:t>, a meno per le sostanze che rilasciano per l’utilizzo specifico.</w:t>
      </w:r>
      <w:r w:rsidR="00633625" w:rsidRPr="003A02DB">
        <w:rPr>
          <w:rFonts w:ascii="Calibri" w:eastAsia="Times New Roman" w:hAnsi="Calibri" w:cs="Arial"/>
          <w:i/>
          <w:color w:val="4472C4" w:themeColor="accent1"/>
          <w:lang w:eastAsia="it-IT"/>
        </w:rPr>
        <w:t xml:space="preserve"> </w:t>
      </w:r>
      <w:r w:rsidRPr="003A02DB">
        <w:rPr>
          <w:rFonts w:ascii="Calibri" w:eastAsia="Times New Roman" w:hAnsi="Calibri" w:cs="Arial"/>
          <w:i/>
          <w:color w:val="4472C4" w:themeColor="accent1"/>
          <w:lang w:eastAsia="it-IT"/>
        </w:rPr>
        <w:t xml:space="preserve">Le schede di dati di sicurezza comprendono informazioni sulle proprietà e sui pericoli della sostanza o della miscela, istruzioni per la manipolazione, lo smaltimento e il trasporto e misure di pronto soccorso, antincendio e di controllo dell'esposizione. Il formato e il contenuto delle schede di dati di sicurezza sono specificati nel regolamento REACH. Una scheda di dati di sicurezza deve essere fornita agli utilizzatori a valle per: </w:t>
      </w:r>
    </w:p>
    <w:p w14:paraId="5ED3FB4A" w14:textId="77777777" w:rsidR="004B70AD" w:rsidRPr="003A02DB" w:rsidRDefault="004B70AD" w:rsidP="004B70AD">
      <w:pPr>
        <w:pStyle w:val="Paragrafoelenco"/>
        <w:numPr>
          <w:ilvl w:val="0"/>
          <w:numId w:val="14"/>
        </w:num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una sostanza o miscela classificata come pericolosa ai sensi del regolamento CLP;</w:t>
      </w:r>
    </w:p>
    <w:p w14:paraId="055C3B13" w14:textId="77777777" w:rsidR="004B70AD" w:rsidRPr="003A02DB" w:rsidRDefault="004B70AD" w:rsidP="004B70AD">
      <w:pPr>
        <w:pStyle w:val="Paragrafoelenco"/>
        <w:numPr>
          <w:ilvl w:val="0"/>
          <w:numId w:val="14"/>
        </w:num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una sostanza persistente, bioaccumulabile e tossica (PBT) o molto persistente e molto bioaccumulabile (</w:t>
      </w:r>
      <w:proofErr w:type="spellStart"/>
      <w:r w:rsidRPr="003A02DB">
        <w:rPr>
          <w:rFonts w:ascii="Calibri" w:eastAsia="Times New Roman" w:hAnsi="Calibri" w:cs="Arial"/>
          <w:i/>
          <w:color w:val="4472C4" w:themeColor="accent1"/>
          <w:lang w:eastAsia="it-IT"/>
        </w:rPr>
        <w:t>vPvB</w:t>
      </w:r>
      <w:proofErr w:type="spellEnd"/>
      <w:r w:rsidRPr="003A02DB">
        <w:rPr>
          <w:rFonts w:ascii="Calibri" w:eastAsia="Times New Roman" w:hAnsi="Calibri" w:cs="Arial"/>
          <w:i/>
          <w:color w:val="4472C4" w:themeColor="accent1"/>
          <w:lang w:eastAsia="it-IT"/>
        </w:rPr>
        <w:t>); oppure</w:t>
      </w:r>
    </w:p>
    <w:p w14:paraId="3E52FEAD" w14:textId="77777777" w:rsidR="004B70AD" w:rsidRPr="003A02DB" w:rsidRDefault="004B70AD" w:rsidP="004B70AD">
      <w:pPr>
        <w:pStyle w:val="Paragrafoelenco"/>
        <w:numPr>
          <w:ilvl w:val="0"/>
          <w:numId w:val="14"/>
        </w:num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una sostanza inclusa nell'elenco delle sostanze candidate estremamente preoccupanti (SVHC).</w:t>
      </w:r>
    </w:p>
    <w:p w14:paraId="11010439"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Tuttavia, se la sostanza o miscela è anche venduta al pubblico, non è necessario fornire una scheda di dati di sicurezza a meno che questa non venga richiesta da un utilizzatore a valle o un distributore. </w:t>
      </w:r>
    </w:p>
    <w:p w14:paraId="6F0BBC38"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Per le miscele che non sono classificate come pericolose ma che contengono determinate sostanze pericolose, è necessario fornire una scheda di dati di sicurezza qualora gli utilizzatori a valle o i distributori la richiedano. </w:t>
      </w:r>
    </w:p>
    <w:p w14:paraId="3040B56B"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La scheda di dati di sicurezza deve essere aggiornata senza indugio qualora diventino disponibili nuove informazioni sui pericoli o in merito alla necessità di adottare misure di gestione dei rischi più severe. </w:t>
      </w:r>
    </w:p>
    <w:p w14:paraId="3D7C9420"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Quando gli utilizzatori a valle ricevono una scheda di dati di sicurezza, devono individuare e mettere in atto misure opportune per controllare i rischi in modo adeguato. I fornitori e i destinatari delle schede di dati di sicurezza sono invitati a verificare che le informazioni prescritte siano fornite. L'ECHA e le autorità incaricate dell'applicazione hanno sviluppato una lista di controllo che è disponibile per questo scopo. Gli utilizzatori a valle sono incoraggiati a informare i loro fornitori in merito a inesattezze o incongruenze nella scheda di dati di sicurezza ricevuta. </w:t>
      </w:r>
    </w:p>
    <w:p w14:paraId="6F4B69B0"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lastRenderedPageBreak/>
        <w:t>Quando non è necessaria alcuna scheda di dati di sicurezza, il fornitore deve comunque fornire informazioni sufficienti per un uso sicuro. Qualora a qualsiasi sostanza si applichino delle restrizioni o delle autorizzazioni, si devono fornire i dettagli necessari. I fornitori di articoli che contengono più dello 0,1 % p/p di una sostanza inclusa nell'elenco delle sostanze candidate devono fornire informazioni sufficienti agli utilizzatori a valle e ai distributori al fine di consentirne un uso sicuro.</w:t>
      </w:r>
    </w:p>
    <w:p w14:paraId="3B226B84"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Nel caso di sostanze recuperate la scheda di sicurezza non deve avere uno scenario di esposizione specifico per l’uso, ma disporre delle informazioni per l’utilizzo in sicurezza.</w:t>
      </w:r>
    </w:p>
    <w:p w14:paraId="3283740E" w14:textId="77777777" w:rsidR="004B70AD" w:rsidRPr="003A02DB" w:rsidRDefault="004B70AD" w:rsidP="004B70AD">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La mancata predisposizione, fornitura, aggiornamento della SDS è sanzionabile, anche la mancata verifica dell’adeguatezza della SDS da parte degli utilizzatori a valle è sanzionabile.</w:t>
      </w:r>
    </w:p>
    <w:p w14:paraId="78081366" w14:textId="77777777" w:rsidR="004B70AD" w:rsidRPr="003865FE" w:rsidRDefault="004B70AD" w:rsidP="004B70AD">
      <w:pPr>
        <w:spacing w:before="80" w:after="120" w:line="264" w:lineRule="auto"/>
        <w:jc w:val="both"/>
        <w:rPr>
          <w:rFonts w:ascii="Calibri" w:eastAsia="Times New Roman" w:hAnsi="Calibri" w:cs="Arial"/>
          <w:i/>
          <w:color w:val="4472C4" w:themeColor="accent1"/>
          <w:lang w:eastAsia="it-IT"/>
        </w:rPr>
      </w:pPr>
      <w:r w:rsidRPr="003865FE">
        <w:rPr>
          <w:rFonts w:ascii="Calibri" w:eastAsia="Times New Roman" w:hAnsi="Calibri" w:cs="Arial"/>
          <w:i/>
          <w:color w:val="4472C4" w:themeColor="accent1"/>
          <w:lang w:eastAsia="it-IT"/>
        </w:rPr>
        <w:t>Secondo il decreto legislativo 133/2009 art.10 le sanzioni previste sono:</w:t>
      </w:r>
    </w:p>
    <w:p w14:paraId="68DD39D8" w14:textId="63CAAA04" w:rsidR="004B70AD" w:rsidRPr="003865FE" w:rsidRDefault="004B70AD" w:rsidP="085B2EC0">
      <w:pPr>
        <w:pStyle w:val="Paragrafoelenco"/>
        <w:numPr>
          <w:ilvl w:val="0"/>
          <w:numId w:val="26"/>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Chi non trasmette una SDS per sostanze/miscele classificate pericolose, o su richiesta una SDS per miscele non classificate pericolose o se tenuto a fare il CSA non trasmette una SDS coerente con il CSA 10.000 - 60.000</w:t>
      </w:r>
      <w:r w:rsidR="36609678" w:rsidRPr="085B2EC0">
        <w:rPr>
          <w:rFonts w:ascii="Calibri" w:eastAsia="Times New Roman" w:hAnsi="Calibri" w:cs="Arial"/>
          <w:i/>
          <w:iCs/>
          <w:color w:val="4472C4" w:themeColor="accent1"/>
          <w:lang w:eastAsia="it-IT"/>
        </w:rPr>
        <w:t xml:space="preserve"> €</w:t>
      </w:r>
      <w:r w:rsidR="0A6B4251" w:rsidRPr="085B2EC0">
        <w:rPr>
          <w:rFonts w:ascii="Calibri" w:eastAsia="Times New Roman" w:hAnsi="Calibri" w:cs="Arial"/>
          <w:i/>
          <w:iCs/>
          <w:color w:val="4472C4" w:themeColor="accent1"/>
          <w:lang w:eastAsia="it-IT"/>
        </w:rPr>
        <w:t>;</w:t>
      </w:r>
    </w:p>
    <w:p w14:paraId="0A01152C" w14:textId="55B64E73" w:rsidR="004B70AD" w:rsidRPr="003865FE" w:rsidRDefault="004B70AD" w:rsidP="085B2EC0">
      <w:pPr>
        <w:pStyle w:val="Paragrafoelenco"/>
        <w:numPr>
          <w:ilvl w:val="0"/>
          <w:numId w:val="26"/>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Chi trasmette una SDS non italiano, non datata o incompleta o inesatta 3.000 -18.000</w:t>
      </w:r>
      <w:r w:rsidR="63D51FCD" w:rsidRPr="085B2EC0">
        <w:rPr>
          <w:rFonts w:ascii="Calibri" w:eastAsia="Times New Roman" w:hAnsi="Calibri" w:cs="Arial"/>
          <w:i/>
          <w:iCs/>
          <w:color w:val="4472C4" w:themeColor="accent1"/>
          <w:lang w:eastAsia="it-IT"/>
        </w:rPr>
        <w:t xml:space="preserve"> €</w:t>
      </w:r>
      <w:r w:rsidR="5F60D291" w:rsidRPr="085B2EC0">
        <w:rPr>
          <w:rFonts w:ascii="Calibri" w:eastAsia="Times New Roman" w:hAnsi="Calibri" w:cs="Arial"/>
          <w:i/>
          <w:iCs/>
          <w:color w:val="4472C4" w:themeColor="accent1"/>
          <w:lang w:eastAsia="it-IT"/>
        </w:rPr>
        <w:t>;</w:t>
      </w:r>
    </w:p>
    <w:p w14:paraId="6695FC91" w14:textId="5425A1EE" w:rsidR="004B70AD" w:rsidRPr="003865FE" w:rsidRDefault="004B70AD" w:rsidP="085B2EC0">
      <w:pPr>
        <w:pStyle w:val="Paragrafoelenco"/>
        <w:numPr>
          <w:ilvl w:val="0"/>
          <w:numId w:val="26"/>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Chi trasmette una SDS priva degli scenari di esposizione, pur soggetto a CSA 10.000 - 60.000</w:t>
      </w:r>
      <w:r w:rsidR="78F74BF6" w:rsidRPr="085B2EC0">
        <w:rPr>
          <w:rFonts w:ascii="Calibri" w:eastAsia="Times New Roman" w:hAnsi="Calibri" w:cs="Arial"/>
          <w:i/>
          <w:iCs/>
          <w:color w:val="4472C4" w:themeColor="accent1"/>
          <w:lang w:eastAsia="it-IT"/>
        </w:rPr>
        <w:t xml:space="preserve"> €;</w:t>
      </w:r>
    </w:p>
    <w:p w14:paraId="230740BC" w14:textId="27E70326" w:rsidR="004B70AD" w:rsidRPr="003865FE" w:rsidRDefault="004B70AD" w:rsidP="085B2EC0">
      <w:pPr>
        <w:pStyle w:val="Paragrafoelenco"/>
        <w:numPr>
          <w:ilvl w:val="0"/>
          <w:numId w:val="26"/>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Chi, pur non avendo l’obbligo di trasmettere una SDS, non dà informazioni su sostanze soggette ad autorizzazione/restrizioni 10.000 - 60.000</w:t>
      </w:r>
      <w:r w:rsidR="49102782" w:rsidRPr="085B2EC0">
        <w:rPr>
          <w:rFonts w:ascii="Calibri" w:eastAsia="Times New Roman" w:hAnsi="Calibri" w:cs="Arial"/>
          <w:i/>
          <w:iCs/>
          <w:color w:val="4472C4" w:themeColor="accent1"/>
          <w:lang w:eastAsia="it-IT"/>
        </w:rPr>
        <w:t xml:space="preserve"> €;</w:t>
      </w:r>
    </w:p>
    <w:p w14:paraId="684B4203" w14:textId="00FBDF44" w:rsidR="004B70AD" w:rsidRPr="003865FE" w:rsidRDefault="004B70AD" w:rsidP="085B2EC0">
      <w:pPr>
        <w:pStyle w:val="Paragrafoelenco"/>
        <w:numPr>
          <w:ilvl w:val="0"/>
          <w:numId w:val="26"/>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Chi è a valle della catena di informazioni e non comunica nuove informazioni sulle proprietà pericolose o sull’inadeguatezza delle misure di gestione del rischio 3.000- 18.000</w:t>
      </w:r>
      <w:r w:rsidR="64669480" w:rsidRPr="085B2EC0">
        <w:rPr>
          <w:rFonts w:ascii="Calibri" w:eastAsia="Times New Roman" w:hAnsi="Calibri" w:cs="Arial"/>
          <w:i/>
          <w:iCs/>
          <w:color w:val="4472C4" w:themeColor="accent1"/>
          <w:lang w:eastAsia="it-IT"/>
        </w:rPr>
        <w:t xml:space="preserve"> €.</w:t>
      </w:r>
    </w:p>
    <w:p w14:paraId="2A306580" w14:textId="42946F07" w:rsidR="004B70AD" w:rsidRDefault="004B70AD" w:rsidP="004B70AD">
      <w:pPr>
        <w:spacing w:before="80" w:after="120" w:line="264" w:lineRule="auto"/>
        <w:jc w:val="both"/>
        <w:rPr>
          <w:rFonts w:ascii="Calibri" w:eastAsia="Times New Roman" w:hAnsi="Calibri" w:cs="Arial"/>
          <w:b/>
          <w:bCs/>
          <w:iCs/>
          <w:lang w:eastAsia="it-IT"/>
        </w:rPr>
      </w:pPr>
    </w:p>
    <w:p w14:paraId="537432DD" w14:textId="2BD02187" w:rsidR="001D654C" w:rsidRPr="00427691" w:rsidRDefault="001D654C" w:rsidP="00427691">
      <w:pPr>
        <w:keepNext/>
        <w:spacing w:before="120" w:after="80" w:line="264" w:lineRule="auto"/>
        <w:jc w:val="both"/>
        <w:outlineLvl w:val="2"/>
        <w:rPr>
          <w:rFonts w:ascii="Calibri" w:eastAsia="Times New Roman" w:hAnsi="Calibri" w:cs="Times New Roman"/>
          <w:b/>
          <w:iCs/>
          <w:snapToGrid w:val="0"/>
          <w:sz w:val="24"/>
          <w:szCs w:val="20"/>
          <w:lang w:eastAsia="it-IT"/>
        </w:rPr>
      </w:pPr>
    </w:p>
    <w:p w14:paraId="215E9170" w14:textId="4D151977" w:rsidR="004B70AD" w:rsidRPr="00427691" w:rsidRDefault="00CF0E1A" w:rsidP="00C62E96">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46" w:name="_Toc126664592"/>
      <w:r w:rsidRPr="00427691">
        <w:rPr>
          <w:rFonts w:ascii="Calibri" w:eastAsia="Times New Roman" w:hAnsi="Calibri" w:cs="Times New Roman"/>
          <w:b/>
          <w:iCs/>
          <w:snapToGrid w:val="0"/>
          <w:sz w:val="24"/>
          <w:szCs w:val="20"/>
          <w:lang w:eastAsia="it-IT"/>
        </w:rPr>
        <w:t>VERIFICA DELLE SOSTANZE SVHC- RESTRIZIONI – AUTORIZZAZIONI - NOTIFICHE</w:t>
      </w:r>
      <w:bookmarkEnd w:id="46"/>
    </w:p>
    <w:p w14:paraId="2DD31A8D" w14:textId="77777777" w:rsidR="001D654C" w:rsidRDefault="001D654C" w:rsidP="001F2B93">
      <w:pPr>
        <w:spacing w:before="80" w:after="120" w:line="264" w:lineRule="auto"/>
        <w:jc w:val="both"/>
        <w:rPr>
          <w:rFonts w:ascii="Calibri" w:eastAsia="Times New Roman" w:hAnsi="Calibri" w:cs="Arial"/>
          <w:b/>
          <w:bCs/>
          <w:iCs/>
          <w:lang w:eastAsia="it-IT"/>
        </w:rPr>
      </w:pPr>
      <w:bookmarkStart w:id="47" w:name="_Hlk55984960"/>
      <w:bookmarkStart w:id="48" w:name="_Hlk55995299"/>
    </w:p>
    <w:p w14:paraId="1B577C3B" w14:textId="123C179D" w:rsidR="001C20E0" w:rsidRPr="003D1F7D" w:rsidRDefault="000B0523" w:rsidP="002851FE">
      <w:pPr>
        <w:keepNext/>
        <w:spacing w:before="120" w:after="80" w:line="264" w:lineRule="auto"/>
        <w:jc w:val="both"/>
        <w:outlineLvl w:val="2"/>
        <w:rPr>
          <w:rFonts w:ascii="Calibri" w:eastAsia="Times New Roman" w:hAnsi="Calibri" w:cs="Times New Roman"/>
          <w:b/>
          <w:iCs/>
          <w:snapToGrid w:val="0"/>
          <w:sz w:val="24"/>
          <w:szCs w:val="20"/>
          <w:lang w:val="en-US" w:eastAsia="it-IT"/>
        </w:rPr>
      </w:pPr>
      <w:bookmarkStart w:id="49" w:name="_Toc126664593"/>
      <w:r>
        <w:rPr>
          <w:rFonts w:ascii="Calibri" w:eastAsia="Times New Roman" w:hAnsi="Calibri" w:cs="Times New Roman"/>
          <w:b/>
          <w:iCs/>
          <w:snapToGrid w:val="0"/>
          <w:sz w:val="24"/>
          <w:szCs w:val="20"/>
          <w:lang w:val="en-US" w:eastAsia="it-IT"/>
        </w:rPr>
        <w:t>20</w:t>
      </w:r>
      <w:r w:rsidR="001C20E0" w:rsidRPr="003D1F7D">
        <w:rPr>
          <w:rFonts w:ascii="Calibri" w:eastAsia="Times New Roman" w:hAnsi="Calibri" w:cs="Times New Roman"/>
          <w:b/>
          <w:iCs/>
          <w:snapToGrid w:val="0"/>
          <w:sz w:val="24"/>
          <w:szCs w:val="20"/>
          <w:lang w:val="en-US" w:eastAsia="it-IT"/>
        </w:rPr>
        <w:t>-Sostanze SVHC≥0,1%</w:t>
      </w:r>
      <w:bookmarkEnd w:id="49"/>
    </w:p>
    <w:p w14:paraId="14B7E232" w14:textId="0CF48323" w:rsidR="001F2B93" w:rsidRPr="001F2B93" w:rsidRDefault="001F2B93" w:rsidP="001F2B93">
      <w:pPr>
        <w:spacing w:before="80" w:after="120" w:line="264" w:lineRule="auto"/>
        <w:jc w:val="both"/>
        <w:rPr>
          <w:rFonts w:ascii="Calibri" w:eastAsia="Times New Roman" w:hAnsi="Calibri" w:cs="Arial"/>
          <w:i/>
          <w:lang w:eastAsia="it-IT"/>
        </w:rPr>
      </w:pPr>
      <w:proofErr w:type="spellStart"/>
      <w:r w:rsidRPr="003D1F7D">
        <w:rPr>
          <w:rFonts w:ascii="Calibri" w:eastAsia="Times New Roman" w:hAnsi="Calibri" w:cs="Arial"/>
          <w:i/>
          <w:lang w:val="en-US" w:eastAsia="it-IT"/>
        </w:rPr>
        <w:t>Riferimenti</w:t>
      </w:r>
      <w:proofErr w:type="spellEnd"/>
      <w:r w:rsidRPr="003D1F7D">
        <w:rPr>
          <w:rFonts w:ascii="Calibri" w:eastAsia="Times New Roman" w:hAnsi="Calibri" w:cs="Arial"/>
          <w:i/>
          <w:lang w:val="en-US" w:eastAsia="it-IT"/>
        </w:rPr>
        <w:t xml:space="preserve">: </w:t>
      </w:r>
      <w:bookmarkEnd w:id="47"/>
      <w:r w:rsidRPr="003D1F7D">
        <w:rPr>
          <w:rFonts w:ascii="Calibri" w:eastAsia="Times New Roman" w:hAnsi="Calibri" w:cs="Arial"/>
          <w:i/>
          <w:lang w:val="en-US" w:eastAsia="it-IT"/>
        </w:rPr>
        <w:t xml:space="preserve">art.58 REACH, art. 7(2), art 31(1) e art. 31(3), art. </w:t>
      </w:r>
      <w:r w:rsidRPr="001F2B93">
        <w:rPr>
          <w:rFonts w:ascii="Calibri" w:eastAsia="Times New Roman" w:hAnsi="Calibri" w:cs="Arial"/>
          <w:i/>
          <w:lang w:eastAsia="it-IT"/>
        </w:rPr>
        <w:t>(33)</w:t>
      </w:r>
    </w:p>
    <w:p w14:paraId="6D6D4CFC" w14:textId="77777777" w:rsidR="001F2B93" w:rsidRPr="001F2B93" w:rsidRDefault="001F2B93" w:rsidP="001F2B93">
      <w:pPr>
        <w:spacing w:before="80" w:after="120" w:line="264" w:lineRule="auto"/>
        <w:jc w:val="both"/>
        <w:rPr>
          <w:rFonts w:ascii="Calibri" w:eastAsia="Calibri" w:hAnsi="Calibri" w:cs="Times New Roman"/>
        </w:rPr>
      </w:pPr>
      <w:bookmarkStart w:id="50" w:name="_Hlk55984979"/>
      <w:r w:rsidRPr="001F2B93">
        <w:rPr>
          <w:rFonts w:ascii="Calibri" w:eastAsia="Times New Roman" w:hAnsi="Calibri" w:cs="Arial"/>
          <w:i/>
          <w:lang w:eastAsia="it-IT"/>
        </w:rPr>
        <w:t xml:space="preserve">Linee guida: Orientamenti sugli obblighi per le sostanze presenti negli articoli </w:t>
      </w:r>
      <w:proofErr w:type="gramStart"/>
      <w:r w:rsidRPr="001F2B93">
        <w:rPr>
          <w:rFonts w:ascii="Calibri" w:eastAsia="Times New Roman" w:hAnsi="Calibri" w:cs="Arial"/>
          <w:i/>
          <w:lang w:eastAsia="it-IT"/>
        </w:rPr>
        <w:t>Giugno</w:t>
      </w:r>
      <w:proofErr w:type="gramEnd"/>
      <w:r w:rsidRPr="001F2B93">
        <w:rPr>
          <w:rFonts w:ascii="Calibri" w:eastAsia="Times New Roman" w:hAnsi="Calibri" w:cs="Arial"/>
          <w:i/>
          <w:lang w:eastAsia="it-IT"/>
        </w:rPr>
        <w:t xml:space="preserve"> 2017 Versione 4.0, </w:t>
      </w:r>
      <w:bookmarkEnd w:id="50"/>
      <w:r w:rsidRPr="001F2B93">
        <w:rPr>
          <w:rFonts w:ascii="Calibri" w:eastAsia="Calibri" w:hAnsi="Calibri" w:cs="Times New Roman"/>
        </w:rPr>
        <w:fldChar w:fldCharType="begin"/>
      </w:r>
      <w:r w:rsidRPr="001F2B93">
        <w:rPr>
          <w:rFonts w:ascii="Calibri" w:eastAsia="Calibri" w:hAnsi="Calibri" w:cs="Times New Roman"/>
        </w:rPr>
        <w:instrText xml:space="preserve"> HYPERLINK "https://echa.europa.eu/it/candidate-list-obligations" </w:instrText>
      </w:r>
      <w:r w:rsidRPr="001F2B93">
        <w:rPr>
          <w:rFonts w:ascii="Calibri" w:eastAsia="Calibri" w:hAnsi="Calibri" w:cs="Times New Roman"/>
        </w:rPr>
      </w:r>
      <w:r w:rsidRPr="001F2B93">
        <w:rPr>
          <w:rFonts w:ascii="Calibri" w:eastAsia="Calibri" w:hAnsi="Calibri" w:cs="Times New Roman"/>
        </w:rPr>
        <w:fldChar w:fldCharType="separate"/>
      </w:r>
      <w:r w:rsidRPr="001F2B93">
        <w:rPr>
          <w:rFonts w:ascii="Calibri" w:eastAsia="Calibri" w:hAnsi="Calibri" w:cs="Times New Roman"/>
          <w:color w:val="0000FF"/>
          <w:u w:val="single"/>
        </w:rPr>
        <w:t>https://echa.europa.eu/it/candidate-list-obligations</w:t>
      </w:r>
      <w:r w:rsidRPr="001F2B93">
        <w:rPr>
          <w:rFonts w:ascii="Calibri" w:eastAsia="Calibri" w:hAnsi="Calibri" w:cs="Times New Roman"/>
        </w:rPr>
        <w:fldChar w:fldCharType="end"/>
      </w:r>
      <w:r w:rsidRPr="001F2B93">
        <w:rPr>
          <w:rFonts w:ascii="Calibri" w:eastAsia="Calibri" w:hAnsi="Calibri" w:cs="Times New Roman"/>
        </w:rPr>
        <w:t xml:space="preserve">, </w:t>
      </w:r>
      <w:r w:rsidRPr="001F2B93">
        <w:rPr>
          <w:rFonts w:ascii="Calibri" w:eastAsia="Calibri" w:hAnsi="Calibri" w:cs="Times New Roman"/>
          <w:i/>
          <w:iCs/>
        </w:rPr>
        <w:t>Guida all'identificazione di SVHC</w:t>
      </w:r>
    </w:p>
    <w:bookmarkEnd w:id="48"/>
    <w:p w14:paraId="55CC76AC" w14:textId="1E9B8371" w:rsidR="001F2B93" w:rsidRPr="003A02DB" w:rsidRDefault="001040BC" w:rsidP="001F2B93">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 xml:space="preserve">Solo con la conoscenza della composizione e delle impurezze è possibile valutare la presenza delle sostanze SVHC &gt;0,1%. La candidate list è aggiornata ogni </w:t>
      </w:r>
      <w:proofErr w:type="gramStart"/>
      <w:r w:rsidRPr="003A02DB">
        <w:rPr>
          <w:rFonts w:ascii="Calibri" w:eastAsia="Times New Roman" w:hAnsi="Calibri" w:cs="Arial"/>
          <w:i/>
          <w:color w:val="4472C4" w:themeColor="accent1"/>
          <w:lang w:eastAsia="it-IT"/>
        </w:rPr>
        <w:t>6</w:t>
      </w:r>
      <w:proofErr w:type="gramEnd"/>
      <w:r w:rsidRPr="003A02DB">
        <w:rPr>
          <w:rFonts w:ascii="Calibri" w:eastAsia="Times New Roman" w:hAnsi="Calibri" w:cs="Arial"/>
          <w:i/>
          <w:color w:val="4472C4" w:themeColor="accent1"/>
          <w:lang w:eastAsia="it-IT"/>
        </w:rPr>
        <w:t xml:space="preserve"> mesi. Per cui </w:t>
      </w:r>
      <w:r w:rsidR="008E5506" w:rsidRPr="003A02DB">
        <w:rPr>
          <w:rFonts w:ascii="Calibri" w:eastAsia="Times New Roman" w:hAnsi="Calibri" w:cs="Arial"/>
          <w:i/>
          <w:color w:val="4472C4" w:themeColor="accent1"/>
          <w:lang w:eastAsia="it-IT"/>
        </w:rPr>
        <w:t>bisogna tenere aggiornata la valutazione.</w:t>
      </w:r>
    </w:p>
    <w:p w14:paraId="38640D31" w14:textId="77777777" w:rsidR="00AD3004" w:rsidRPr="003A02DB" w:rsidRDefault="00AD3004" w:rsidP="00AD3004">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Immediatamente dopo l'inclusione di una sostanza nell'elenco di sostanze candidate, i fornitori di articoli che contengono una tale sostanza in una concentrazione superiore allo 0,1% (peso/peso) devono fornire sufficienti informazioni per consentire l'uso sicuro dell'articolo ai destinatari dell'articolo. In questo caso, i destinatari sono utenti e distributori industriali o professionali, ma non consumatori. Si deve comunicare come minimo il nome della sostanza in questione.</w:t>
      </w:r>
    </w:p>
    <w:p w14:paraId="715AF0DB" w14:textId="5AFC7AC3" w:rsidR="00AD3004" w:rsidRPr="003A02DB" w:rsidRDefault="00AD3004" w:rsidP="00AD3004">
      <w:pPr>
        <w:spacing w:before="80" w:after="120" w:line="264" w:lineRule="auto"/>
        <w:jc w:val="both"/>
        <w:rPr>
          <w:rFonts w:ascii="Calibri" w:eastAsia="Times New Roman" w:hAnsi="Calibri" w:cs="Arial"/>
          <w:i/>
          <w:color w:val="4472C4" w:themeColor="accent1"/>
          <w:lang w:eastAsia="it-IT"/>
        </w:rPr>
      </w:pPr>
      <w:r w:rsidRPr="003A02DB">
        <w:rPr>
          <w:rFonts w:ascii="Calibri" w:eastAsia="Times New Roman" w:hAnsi="Calibri" w:cs="Arial"/>
          <w:i/>
          <w:color w:val="4472C4" w:themeColor="accent1"/>
          <w:lang w:eastAsia="it-IT"/>
        </w:rPr>
        <w:t>I consumatori possono richiedere informazioni analoghe. Il fornitore dell'articolo è tenuto a fornire queste informazioni gratuitamente entro 45 giorni.</w:t>
      </w:r>
    </w:p>
    <w:p w14:paraId="77192F4C" w14:textId="77777777" w:rsidR="00AD07C9" w:rsidRPr="003A02DB" w:rsidRDefault="00AD07C9" w:rsidP="00AD07C9">
      <w:pPr>
        <w:spacing w:before="80" w:after="120" w:line="264" w:lineRule="auto"/>
        <w:jc w:val="both"/>
        <w:rPr>
          <w:rFonts w:ascii="Calibri" w:eastAsia="Calibri" w:hAnsi="Calibri" w:cs="Times New Roman"/>
          <w:i/>
          <w:iCs/>
          <w:color w:val="4472C4" w:themeColor="accent1"/>
        </w:rPr>
      </w:pPr>
      <w:bookmarkStart w:id="51" w:name="_Hlk58839042"/>
      <w:r w:rsidRPr="003A02DB">
        <w:rPr>
          <w:rFonts w:ascii="Calibri" w:eastAsia="Calibri" w:hAnsi="Calibri" w:cs="Times New Roman"/>
          <w:i/>
          <w:iCs/>
          <w:color w:val="4472C4" w:themeColor="accent1"/>
        </w:rPr>
        <w:t xml:space="preserve">Sono sanzionabili secondo il </w:t>
      </w:r>
      <w:proofErr w:type="spellStart"/>
      <w:r w:rsidRPr="003A02DB">
        <w:rPr>
          <w:rFonts w:ascii="Calibri" w:eastAsia="Calibri" w:hAnsi="Calibri" w:cs="Times New Roman"/>
          <w:i/>
          <w:iCs/>
          <w:color w:val="4472C4" w:themeColor="accent1"/>
        </w:rPr>
        <w:t>D.lgs</w:t>
      </w:r>
      <w:proofErr w:type="spellEnd"/>
      <w:r w:rsidRPr="003A02DB">
        <w:rPr>
          <w:rFonts w:ascii="Calibri" w:eastAsia="Calibri" w:hAnsi="Calibri" w:cs="Times New Roman"/>
          <w:i/>
          <w:iCs/>
          <w:color w:val="4472C4" w:themeColor="accent1"/>
        </w:rPr>
        <w:t xml:space="preserve"> 133/2009 art. 10:</w:t>
      </w:r>
    </w:p>
    <w:bookmarkEnd w:id="51"/>
    <w:p w14:paraId="1C38764A" w14:textId="0BCD33AA" w:rsidR="00AD07C9" w:rsidRPr="003A02DB" w:rsidRDefault="00AD07C9" w:rsidP="085B2EC0">
      <w:pPr>
        <w:pStyle w:val="Paragrafoelenco"/>
        <w:numPr>
          <w:ilvl w:val="0"/>
          <w:numId w:val="17"/>
        </w:numPr>
        <w:spacing w:before="80" w:after="120" w:line="264" w:lineRule="auto"/>
        <w:jc w:val="both"/>
        <w:rPr>
          <w:rFonts w:ascii="Calibri" w:eastAsia="Calibri" w:hAnsi="Calibri" w:cs="Times New Roman"/>
          <w:i/>
          <w:iCs/>
          <w:color w:val="4472C4" w:themeColor="accent1"/>
        </w:rPr>
      </w:pPr>
      <w:r w:rsidRPr="085B2EC0">
        <w:rPr>
          <w:rFonts w:ascii="Calibri" w:eastAsia="Calibri" w:hAnsi="Calibri" w:cs="Times New Roman"/>
          <w:i/>
          <w:iCs/>
          <w:color w:val="4472C4" w:themeColor="accent1"/>
        </w:rPr>
        <w:t xml:space="preserve">Chi non fornisce istruzioni adeguate </w:t>
      </w:r>
      <w:r w:rsidR="6E94BE30" w:rsidRPr="085B2EC0">
        <w:rPr>
          <w:rFonts w:ascii="Calibri" w:eastAsia="Calibri" w:hAnsi="Calibri" w:cs="Times New Roman"/>
          <w:i/>
          <w:iCs/>
          <w:color w:val="4472C4" w:themeColor="accent1"/>
        </w:rPr>
        <w:t>all’uso</w:t>
      </w:r>
      <w:r w:rsidRPr="085B2EC0">
        <w:rPr>
          <w:rFonts w:ascii="Calibri" w:eastAsia="Calibri" w:hAnsi="Calibri" w:cs="Times New Roman"/>
          <w:i/>
          <w:iCs/>
          <w:color w:val="4472C4" w:themeColor="accent1"/>
        </w:rPr>
        <w:t xml:space="preserve"> di articoli (in assenza di notifica, e in presenza di SVHC) 10.000 - 60.000</w:t>
      </w:r>
      <w:r w:rsidR="014E7650" w:rsidRPr="085B2EC0">
        <w:rPr>
          <w:rFonts w:ascii="Calibri" w:eastAsia="Calibri" w:hAnsi="Calibri" w:cs="Times New Roman"/>
          <w:i/>
          <w:iCs/>
          <w:color w:val="4472C4" w:themeColor="accent1"/>
        </w:rPr>
        <w:t xml:space="preserve"> €;</w:t>
      </w:r>
    </w:p>
    <w:p w14:paraId="3D1EBC24" w14:textId="1B8DF39C" w:rsidR="00AD07C9" w:rsidRDefault="00AD07C9" w:rsidP="085B2EC0">
      <w:pPr>
        <w:pStyle w:val="Paragrafoelenco"/>
        <w:numPr>
          <w:ilvl w:val="0"/>
          <w:numId w:val="17"/>
        </w:numPr>
        <w:spacing w:before="80" w:after="120" w:line="264" w:lineRule="auto"/>
        <w:jc w:val="both"/>
        <w:rPr>
          <w:rFonts w:ascii="Calibri" w:eastAsia="Calibri" w:hAnsi="Calibri" w:cs="Times New Roman"/>
          <w:i/>
          <w:iCs/>
          <w:color w:val="4472C4" w:themeColor="accent1"/>
        </w:rPr>
      </w:pPr>
      <w:r w:rsidRPr="085B2EC0">
        <w:rPr>
          <w:rFonts w:ascii="Calibri" w:eastAsia="Calibri" w:hAnsi="Calibri" w:cs="Times New Roman"/>
          <w:i/>
          <w:iCs/>
          <w:color w:val="4472C4" w:themeColor="accent1"/>
        </w:rPr>
        <w:lastRenderedPageBreak/>
        <w:t>Se il produttore di articoli non comunica al destinatario, quantomeno il nome della sostanza identificata come SVHC (candidate list &gt; 0,1%) per l’uso sicuro dell’articolo o su richiesta del consumatore 5.000 – 30.000</w:t>
      </w:r>
      <w:r w:rsidR="3E707979" w:rsidRPr="085B2EC0">
        <w:rPr>
          <w:rFonts w:ascii="Calibri" w:eastAsia="Calibri" w:hAnsi="Calibri" w:cs="Times New Roman"/>
          <w:i/>
          <w:iCs/>
          <w:color w:val="4472C4" w:themeColor="accent1"/>
        </w:rPr>
        <w:t xml:space="preserve"> €;</w:t>
      </w:r>
    </w:p>
    <w:p w14:paraId="670522EC" w14:textId="77777777" w:rsidR="001D654C" w:rsidRPr="003A02DB" w:rsidRDefault="001D654C" w:rsidP="001D654C">
      <w:pPr>
        <w:pStyle w:val="Paragrafoelenco"/>
        <w:spacing w:before="80" w:after="120" w:line="264" w:lineRule="auto"/>
        <w:jc w:val="both"/>
        <w:rPr>
          <w:rFonts w:ascii="Calibri" w:eastAsia="Calibri" w:hAnsi="Calibri" w:cs="Times New Roman"/>
          <w:i/>
          <w:iCs/>
          <w:color w:val="4472C4" w:themeColor="accent1"/>
        </w:rPr>
      </w:pPr>
    </w:p>
    <w:p w14:paraId="7C4BF1B7" w14:textId="6A70E429" w:rsidR="001C20E0"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52" w:name="_Toc126664594"/>
      <w:r>
        <w:rPr>
          <w:rFonts w:ascii="Calibri" w:eastAsia="Times New Roman" w:hAnsi="Calibri" w:cs="Times New Roman"/>
          <w:b/>
          <w:iCs/>
          <w:snapToGrid w:val="0"/>
          <w:sz w:val="24"/>
          <w:szCs w:val="20"/>
          <w:lang w:eastAsia="it-IT"/>
        </w:rPr>
        <w:t>21</w:t>
      </w:r>
      <w:r w:rsidR="001C20E0" w:rsidRPr="004A27E4">
        <w:rPr>
          <w:rFonts w:ascii="Calibri" w:eastAsia="Times New Roman" w:hAnsi="Calibri" w:cs="Times New Roman"/>
          <w:b/>
          <w:iCs/>
          <w:snapToGrid w:val="0"/>
          <w:sz w:val="24"/>
          <w:szCs w:val="20"/>
          <w:lang w:eastAsia="it-IT"/>
        </w:rPr>
        <w:t>- Sostanze incluse nell’allegato XIV (Autorizzazione)</w:t>
      </w:r>
      <w:bookmarkEnd w:id="52"/>
    </w:p>
    <w:p w14:paraId="0884EFCC" w14:textId="77777777" w:rsidR="001C20E0" w:rsidRPr="001F2B93" w:rsidRDefault="001C20E0" w:rsidP="001C20E0">
      <w:pPr>
        <w:spacing w:before="80" w:after="120" w:line="264" w:lineRule="auto"/>
        <w:jc w:val="both"/>
        <w:rPr>
          <w:rFonts w:ascii="Calibri" w:eastAsia="Calibri" w:hAnsi="Calibri" w:cs="Times New Roman"/>
          <w:u w:val="single"/>
        </w:rPr>
      </w:pPr>
      <w:r w:rsidRPr="001F2B93">
        <w:rPr>
          <w:rFonts w:ascii="Calibri" w:eastAsia="Calibri" w:hAnsi="Calibri" w:cs="Times New Roman"/>
          <w:i/>
          <w:iCs/>
        </w:rPr>
        <w:t>Riferimenti:</w:t>
      </w:r>
      <w:r w:rsidRPr="001F2B93">
        <w:rPr>
          <w:rFonts w:ascii="Calibri" w:eastAsia="Times New Roman" w:hAnsi="Calibri" w:cs="Times New Roman"/>
          <w:szCs w:val="20"/>
          <w:lang w:eastAsia="it-IT"/>
        </w:rPr>
        <w:t xml:space="preserve"> </w:t>
      </w:r>
      <w:r w:rsidRPr="001F2B93">
        <w:rPr>
          <w:rFonts w:ascii="Calibri" w:eastAsia="Calibri" w:hAnsi="Calibri" w:cs="Times New Roman"/>
          <w:i/>
          <w:iCs/>
        </w:rPr>
        <w:t>art.58 REACH</w:t>
      </w:r>
      <w:r>
        <w:rPr>
          <w:rFonts w:ascii="Calibri" w:eastAsia="Calibri" w:hAnsi="Calibri" w:cs="Times New Roman"/>
          <w:i/>
          <w:iCs/>
        </w:rPr>
        <w:t xml:space="preserve">,  </w:t>
      </w:r>
      <w:hyperlink r:id="rId12" w:history="1">
        <w:r w:rsidRPr="00560FF5">
          <w:rPr>
            <w:rStyle w:val="Collegamentoipertestuale"/>
          </w:rPr>
          <w:t>https://echa.europa.eu/it/authorisation-list</w:t>
        </w:r>
      </w:hyperlink>
    </w:p>
    <w:p w14:paraId="6EF01164" w14:textId="77777777" w:rsidR="001C20E0" w:rsidRPr="001F2B93" w:rsidRDefault="001C20E0" w:rsidP="001C20E0">
      <w:pPr>
        <w:spacing w:before="80" w:after="120" w:line="264" w:lineRule="auto"/>
        <w:jc w:val="both"/>
        <w:rPr>
          <w:rFonts w:ascii="Calibri" w:eastAsia="Calibri" w:hAnsi="Calibri" w:cs="Times New Roman"/>
          <w:i/>
          <w:iCs/>
        </w:rPr>
      </w:pPr>
      <w:r w:rsidRPr="001F2B93">
        <w:rPr>
          <w:rFonts w:ascii="Calibri" w:eastAsia="Calibri" w:hAnsi="Calibri" w:cs="Times New Roman"/>
          <w:i/>
          <w:iCs/>
        </w:rPr>
        <w:t>Linee guida:</w:t>
      </w:r>
      <w:r w:rsidRPr="001F2B93">
        <w:rPr>
          <w:rFonts w:ascii="Calibri" w:eastAsia="Times New Roman" w:hAnsi="Calibri" w:cs="Times New Roman"/>
          <w:szCs w:val="20"/>
          <w:lang w:eastAsia="it-IT"/>
        </w:rPr>
        <w:t xml:space="preserve"> </w:t>
      </w:r>
      <w:proofErr w:type="spellStart"/>
      <w:r w:rsidRPr="001F2B93">
        <w:rPr>
          <w:rFonts w:ascii="Calibri" w:eastAsia="Calibri" w:hAnsi="Calibri" w:cs="Times New Roman"/>
          <w:i/>
          <w:iCs/>
        </w:rPr>
        <w:t>Guidance</w:t>
      </w:r>
      <w:proofErr w:type="spellEnd"/>
      <w:r w:rsidRPr="001F2B93">
        <w:rPr>
          <w:rFonts w:ascii="Calibri" w:eastAsia="Calibri" w:hAnsi="Calibri" w:cs="Times New Roman"/>
          <w:i/>
          <w:iCs/>
        </w:rPr>
        <w:t xml:space="preserve"> on </w:t>
      </w:r>
      <w:proofErr w:type="spellStart"/>
      <w:r w:rsidRPr="001F2B93">
        <w:rPr>
          <w:rFonts w:ascii="Calibri" w:eastAsia="Calibri" w:hAnsi="Calibri" w:cs="Times New Roman"/>
          <w:i/>
          <w:iCs/>
        </w:rPr>
        <w:t>inclusion</w:t>
      </w:r>
      <w:proofErr w:type="spellEnd"/>
      <w:r w:rsidRPr="001F2B93">
        <w:rPr>
          <w:rFonts w:ascii="Calibri" w:eastAsia="Calibri" w:hAnsi="Calibri" w:cs="Times New Roman"/>
          <w:i/>
          <w:iCs/>
        </w:rPr>
        <w:t xml:space="preserve"> of </w:t>
      </w:r>
      <w:proofErr w:type="spellStart"/>
      <w:r w:rsidRPr="001F2B93">
        <w:rPr>
          <w:rFonts w:ascii="Calibri" w:eastAsia="Calibri" w:hAnsi="Calibri" w:cs="Times New Roman"/>
          <w:i/>
          <w:iCs/>
        </w:rPr>
        <w:t>substances</w:t>
      </w:r>
      <w:proofErr w:type="spellEnd"/>
      <w:r w:rsidRPr="001F2B93">
        <w:rPr>
          <w:rFonts w:ascii="Calibri" w:eastAsia="Calibri" w:hAnsi="Calibri" w:cs="Times New Roman"/>
          <w:i/>
          <w:iCs/>
        </w:rPr>
        <w:t xml:space="preserve"> in </w:t>
      </w:r>
      <w:proofErr w:type="spellStart"/>
      <w:r w:rsidRPr="001F2B93">
        <w:rPr>
          <w:rFonts w:ascii="Calibri" w:eastAsia="Calibri" w:hAnsi="Calibri" w:cs="Times New Roman"/>
          <w:i/>
          <w:iCs/>
        </w:rPr>
        <w:t>Annex</w:t>
      </w:r>
      <w:proofErr w:type="spellEnd"/>
      <w:r w:rsidRPr="001F2B93">
        <w:rPr>
          <w:rFonts w:ascii="Calibri" w:eastAsia="Calibri" w:hAnsi="Calibri" w:cs="Times New Roman"/>
          <w:i/>
          <w:iCs/>
        </w:rPr>
        <w:t xml:space="preserve"> XIV, Guida alla richiesta di autorizzazione,</w:t>
      </w:r>
      <w:r w:rsidRPr="001F2B93">
        <w:rPr>
          <w:rFonts w:ascii="Calibri" w:eastAsia="Times New Roman" w:hAnsi="Calibri" w:cs="Times New Roman"/>
          <w:szCs w:val="20"/>
          <w:lang w:eastAsia="it-IT"/>
        </w:rPr>
        <w:t xml:space="preserve"> </w:t>
      </w:r>
      <w:r w:rsidRPr="001F2B93">
        <w:rPr>
          <w:rFonts w:ascii="Calibri" w:eastAsia="Calibri" w:hAnsi="Calibri" w:cs="Times New Roman"/>
          <w:i/>
          <w:iCs/>
        </w:rPr>
        <w:t xml:space="preserve">Guida sull'analisi </w:t>
      </w:r>
      <w:proofErr w:type="spellStart"/>
      <w:proofErr w:type="gramStart"/>
      <w:r w:rsidRPr="001F2B93">
        <w:rPr>
          <w:rFonts w:ascii="Calibri" w:eastAsia="Calibri" w:hAnsi="Calibri" w:cs="Times New Roman"/>
          <w:i/>
          <w:iCs/>
        </w:rPr>
        <w:t>socio-economia</w:t>
      </w:r>
      <w:proofErr w:type="spellEnd"/>
      <w:proofErr w:type="gramEnd"/>
      <w:r w:rsidRPr="001F2B93">
        <w:rPr>
          <w:rFonts w:ascii="Calibri" w:eastAsia="Calibri" w:hAnsi="Calibri" w:cs="Times New Roman"/>
          <w:i/>
          <w:iCs/>
        </w:rPr>
        <w:t xml:space="preserve"> - autorizzazione</w:t>
      </w:r>
    </w:p>
    <w:p w14:paraId="0AD81095"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La procedura di autorizzazione mira a garantire che le sostanze estremamente preoccupanti (SVHC) siano sostituite progressivamente da sostanze o tecnologie meno pericolose, qualora siano disponibili alternative valide dal punto di vista tecnico ed economico.</w:t>
      </w:r>
    </w:p>
    <w:p w14:paraId="1E00E34C"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L’iter di autorizzazione inizia quando uno Stato membro o l’ECHA, su richiesta della Commissione, propone una sostanza da identificare come SVHC.</w:t>
      </w:r>
    </w:p>
    <w:p w14:paraId="231C92CF"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Le sostanze con le seguenti proprietà pericolose possono essere identificate come SVHC:</w:t>
      </w:r>
    </w:p>
    <w:p w14:paraId="1A38CB85" w14:textId="77777777" w:rsidR="001C20E0" w:rsidRPr="00974971" w:rsidRDefault="001C20E0" w:rsidP="001C20E0">
      <w:pPr>
        <w:pStyle w:val="Paragrafoelenco"/>
        <w:numPr>
          <w:ilvl w:val="0"/>
          <w:numId w:val="12"/>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sostanze che soddisfano i criteri di classificazione come cancerogene, mutagene o tossiche per la riproduzione (CMR), di categoria 1A o 1B ai sensi del regolamento CLP;</w:t>
      </w:r>
    </w:p>
    <w:p w14:paraId="0FE46943" w14:textId="77777777" w:rsidR="001C20E0" w:rsidRPr="00974971" w:rsidRDefault="001C20E0" w:rsidP="001C20E0">
      <w:pPr>
        <w:pStyle w:val="Paragrafoelenco"/>
        <w:numPr>
          <w:ilvl w:val="0"/>
          <w:numId w:val="12"/>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sostanze che sono persistenti, bioaccumulabili e tossiche (PBT) o molto persistenti e molto bioaccumulabili (</w:t>
      </w:r>
      <w:proofErr w:type="spellStart"/>
      <w:r w:rsidRPr="00974971">
        <w:rPr>
          <w:rFonts w:ascii="Calibri" w:eastAsia="Times New Roman" w:hAnsi="Calibri" w:cs="Arial"/>
          <w:i/>
          <w:color w:val="4472C4" w:themeColor="accent1"/>
          <w:lang w:eastAsia="it-IT"/>
        </w:rPr>
        <w:t>vPvB</w:t>
      </w:r>
      <w:proofErr w:type="spellEnd"/>
      <w:r w:rsidRPr="00974971">
        <w:rPr>
          <w:rFonts w:ascii="Calibri" w:eastAsia="Times New Roman" w:hAnsi="Calibri" w:cs="Arial"/>
          <w:i/>
          <w:color w:val="4472C4" w:themeColor="accent1"/>
          <w:lang w:eastAsia="it-IT"/>
        </w:rPr>
        <w:t>) in conformità al regolamento REACH (allegato XIII);</w:t>
      </w:r>
    </w:p>
    <w:p w14:paraId="48A6EECE" w14:textId="77777777" w:rsidR="001C20E0" w:rsidRPr="00974971" w:rsidRDefault="001C20E0" w:rsidP="001C20E0">
      <w:pPr>
        <w:pStyle w:val="Paragrafoelenco"/>
        <w:numPr>
          <w:ilvl w:val="0"/>
          <w:numId w:val="12"/>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sostanze individuate caso per caso, che destano un livello di preoccupazione equivalente alle sostanze CMR o PBT/</w:t>
      </w:r>
      <w:proofErr w:type="spellStart"/>
      <w:r w:rsidRPr="00974971">
        <w:rPr>
          <w:rFonts w:ascii="Calibri" w:eastAsia="Times New Roman" w:hAnsi="Calibri" w:cs="Arial"/>
          <w:i/>
          <w:color w:val="4472C4" w:themeColor="accent1"/>
          <w:lang w:eastAsia="it-IT"/>
        </w:rPr>
        <w:t>vPvB</w:t>
      </w:r>
      <w:proofErr w:type="spellEnd"/>
      <w:r w:rsidRPr="00974971">
        <w:rPr>
          <w:rFonts w:ascii="Calibri" w:eastAsia="Times New Roman" w:hAnsi="Calibri" w:cs="Arial"/>
          <w:i/>
          <w:color w:val="4472C4" w:themeColor="accent1"/>
          <w:lang w:eastAsia="it-IT"/>
        </w:rPr>
        <w:t>.</w:t>
      </w:r>
    </w:p>
    <w:p w14:paraId="472428E8"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Il processo di identificazione delle sostanze come SVHC prevede una consultazione pubblica di 45 giorni. Dopo essere stata identificata come SVHC, una sostanza viene inclusa nell’elenco di sostanze candidate. L’inclusione nell’elenco di sostanze candidate comporta obblighi immediati per i relativi fornitori, quali ad esempio:</w:t>
      </w:r>
    </w:p>
    <w:p w14:paraId="51421E7A" w14:textId="77777777" w:rsidR="001C20E0" w:rsidRPr="00974971" w:rsidRDefault="001C20E0" w:rsidP="001C20E0">
      <w:pPr>
        <w:pStyle w:val="Paragrafoelenco"/>
        <w:numPr>
          <w:ilvl w:val="0"/>
          <w:numId w:val="13"/>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fornire una scheda di dati di sicurezza (SDS);</w:t>
      </w:r>
    </w:p>
    <w:p w14:paraId="7098121F" w14:textId="77777777" w:rsidR="001C20E0" w:rsidRPr="00974971" w:rsidRDefault="001C20E0" w:rsidP="001C20E0">
      <w:pPr>
        <w:pStyle w:val="Paragrafoelenco"/>
        <w:numPr>
          <w:ilvl w:val="0"/>
          <w:numId w:val="13"/>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comunicare le istruzioni sulla sicurezza d’uso;</w:t>
      </w:r>
    </w:p>
    <w:p w14:paraId="14FC2D5E" w14:textId="77777777" w:rsidR="001C20E0" w:rsidRPr="00974971" w:rsidRDefault="001C20E0" w:rsidP="001C20E0">
      <w:pPr>
        <w:pStyle w:val="Paragrafoelenco"/>
        <w:numPr>
          <w:ilvl w:val="0"/>
          <w:numId w:val="13"/>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rispondere alle richieste dei consumatori entro 45 giorni;</w:t>
      </w:r>
    </w:p>
    <w:p w14:paraId="29653D9A" w14:textId="41A060DD" w:rsidR="001C20E0" w:rsidRPr="00974971" w:rsidRDefault="001C20E0" w:rsidP="085B2EC0">
      <w:pPr>
        <w:pStyle w:val="Paragrafoelenco"/>
        <w:numPr>
          <w:ilvl w:val="0"/>
          <w:numId w:val="13"/>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informare l’ECHA se l’articolo che producono contiene una SVHC in una concentrazione superiore allo 0,1 % (peso/peso) e se la quantità di tale sostanza è superiore a una tonnellata per produttore/importatore all’anno</w:t>
      </w:r>
      <w:r w:rsidR="16373B33" w:rsidRPr="085B2EC0">
        <w:rPr>
          <w:rFonts w:ascii="Calibri" w:eastAsia="Times New Roman" w:hAnsi="Calibri" w:cs="Arial"/>
          <w:i/>
          <w:iCs/>
          <w:color w:val="4472C4" w:themeColor="accent1"/>
          <w:lang w:eastAsia="it-IT"/>
        </w:rPr>
        <w:t>;</w:t>
      </w:r>
    </w:p>
    <w:p w14:paraId="2BF8F73E" w14:textId="6F704D4B" w:rsidR="001C20E0" w:rsidRPr="00974971" w:rsidRDefault="001C20E0" w:rsidP="085B2EC0">
      <w:pPr>
        <w:pStyle w:val="Paragrafoelenco"/>
        <w:numPr>
          <w:ilvl w:val="0"/>
          <w:numId w:val="13"/>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Aggiunta di SVHC all’elenco di sostanze candidate</w:t>
      </w:r>
      <w:r w:rsidR="26BA230D" w:rsidRPr="085B2EC0">
        <w:rPr>
          <w:rFonts w:ascii="Calibri" w:eastAsia="Times New Roman" w:hAnsi="Calibri" w:cs="Arial"/>
          <w:i/>
          <w:iCs/>
          <w:color w:val="4472C4" w:themeColor="accent1"/>
          <w:lang w:eastAsia="it-IT"/>
        </w:rPr>
        <w:t>.</w:t>
      </w:r>
    </w:p>
    <w:p w14:paraId="0931C524"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L’intenzione di proporre una sostanza per l’identificazione come SVHC viene pubblicata nel registro delle intenzioni prima della presentazione della proposta, per informare in anticipo le parti interessate.</w:t>
      </w:r>
    </w:p>
    <w:p w14:paraId="5564B1B8"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La proposta viene preparata conformemente all’allegato XV di REACH e si compone di due parti principali: la prima fornisce i dati e la giustificazione per l’identificazione della sostanza come SVHC; la seconda, esaminata durante le fasi successive all’identificazione, comprende informazioni concernenti i volumi immessi sul mercato dell’UE, gli usi e le possibili alternative alla sostanza in questione.</w:t>
      </w:r>
    </w:p>
    <w:p w14:paraId="1302D02A"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Dopo la pubblicazione della proposta, le parti interessate possono presentare osservazioni o fornire ulteriori informazioni durante la consultazione di 45 giorni. È possibile presentare osservazioni in merito alle proprietà della sostanza, ai suoi usi e alle alternative.</w:t>
      </w:r>
    </w:p>
    <w:p w14:paraId="6DF89972"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 xml:space="preserve">In mancanza di osservazioni che possano mettere in discussione l’identificazione, la sostanza viene inserita direttamente nell’elenco di sostanze candidate. Le osservazioni sugli usi e sulle alternative vengono raccolte </w:t>
      </w:r>
      <w:r w:rsidRPr="00974971">
        <w:rPr>
          <w:rFonts w:ascii="Calibri" w:eastAsia="Times New Roman" w:hAnsi="Calibri" w:cs="Arial"/>
          <w:i/>
          <w:color w:val="4472C4" w:themeColor="accent1"/>
          <w:lang w:eastAsia="it-IT"/>
        </w:rPr>
        <w:lastRenderedPageBreak/>
        <w:t>e utilizzate in una fase successiva del processo, ossia durante la raccomandazione di sostanze da includere nell’elenco di quelle soggette ad autorizzazione.</w:t>
      </w:r>
    </w:p>
    <w:p w14:paraId="7523A179"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Quando pervengono osservazioni che forniscono nuove informazioni o mettono in discussione l’identificazione di una sostanza come SVHC, sia la proposta sia le osservazioni vengono inviate al comitato degli Stati membri affinché sia raggiunto un accordo sull’identificazione stessa.</w:t>
      </w:r>
    </w:p>
    <w:p w14:paraId="72F690EC"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Se il comitato giunge a un accordo unanime, la sostanza viene aggiunta all’elenco di sostanze candidate. In caso contrario, la questione viene rinviata alla Commissione europea.</w:t>
      </w:r>
    </w:p>
    <w:p w14:paraId="78229236" w14:textId="77777777" w:rsidR="001C20E0" w:rsidRPr="00974971" w:rsidRDefault="001C20E0" w:rsidP="001C20E0">
      <w:pPr>
        <w:spacing w:before="80" w:after="120" w:line="264" w:lineRule="auto"/>
        <w:jc w:val="both"/>
        <w:rPr>
          <w:rFonts w:ascii="Calibri" w:eastAsia="Calibri" w:hAnsi="Calibri" w:cs="Times New Roman"/>
          <w:i/>
          <w:iCs/>
          <w:color w:val="4472C4" w:themeColor="accent1"/>
        </w:rPr>
      </w:pPr>
      <w:bookmarkStart w:id="53" w:name="_Hlk58839371"/>
      <w:r w:rsidRPr="00974971">
        <w:rPr>
          <w:rFonts w:ascii="Calibri" w:eastAsia="Calibri" w:hAnsi="Calibri" w:cs="Times New Roman"/>
          <w:i/>
          <w:iCs/>
          <w:color w:val="4472C4" w:themeColor="accent1"/>
        </w:rPr>
        <w:t xml:space="preserve">Sono sanzionabili secondo il </w:t>
      </w:r>
      <w:proofErr w:type="spellStart"/>
      <w:r w:rsidRPr="00974971">
        <w:rPr>
          <w:rFonts w:ascii="Calibri" w:eastAsia="Calibri" w:hAnsi="Calibri" w:cs="Times New Roman"/>
          <w:i/>
          <w:iCs/>
          <w:color w:val="4472C4" w:themeColor="accent1"/>
        </w:rPr>
        <w:t>D.lgs</w:t>
      </w:r>
      <w:proofErr w:type="spellEnd"/>
      <w:r w:rsidRPr="00974971">
        <w:rPr>
          <w:rFonts w:ascii="Calibri" w:eastAsia="Calibri" w:hAnsi="Calibri" w:cs="Times New Roman"/>
          <w:i/>
          <w:iCs/>
          <w:color w:val="4472C4" w:themeColor="accent1"/>
        </w:rPr>
        <w:t xml:space="preserve"> 133/2009 art. 10:</w:t>
      </w:r>
    </w:p>
    <w:bookmarkEnd w:id="53"/>
    <w:p w14:paraId="615011C8" w14:textId="1C4113DA" w:rsidR="001C20E0" w:rsidRPr="00974971" w:rsidRDefault="001C20E0" w:rsidP="085B2EC0">
      <w:pPr>
        <w:pStyle w:val="Paragrafoelenco"/>
        <w:numPr>
          <w:ilvl w:val="0"/>
          <w:numId w:val="20"/>
        </w:numPr>
        <w:spacing w:before="80" w:after="120" w:line="264" w:lineRule="auto"/>
        <w:jc w:val="both"/>
        <w:rPr>
          <w:rFonts w:ascii="Calibri" w:eastAsia="Times New Roman" w:hAnsi="Calibri" w:cs="Arial"/>
          <w:i/>
          <w:iCs/>
          <w:color w:val="4472C4" w:themeColor="accent1"/>
          <w:u w:val="single"/>
          <w:lang w:eastAsia="it-IT"/>
        </w:rPr>
      </w:pPr>
      <w:r w:rsidRPr="085B2EC0">
        <w:rPr>
          <w:i/>
          <w:iCs/>
          <w:color w:val="4472C4" w:themeColor="accent1"/>
        </w:rPr>
        <w:t>Il datore di lavoro che non permette di accedere alle SDS o alle informazioni su sostanze autorizzate/ristrette 15.000- 90.000</w:t>
      </w:r>
      <w:r w:rsidR="532D0E89" w:rsidRPr="085B2EC0">
        <w:rPr>
          <w:i/>
          <w:iCs/>
          <w:color w:val="4472C4" w:themeColor="accent1"/>
        </w:rPr>
        <w:t xml:space="preserve"> €.</w:t>
      </w:r>
    </w:p>
    <w:p w14:paraId="57C722B6" w14:textId="77777777" w:rsidR="001C20E0" w:rsidRPr="00974971" w:rsidRDefault="001C20E0" w:rsidP="001C20E0">
      <w:pPr>
        <w:spacing w:before="80" w:after="120" w:line="264" w:lineRule="auto"/>
        <w:jc w:val="both"/>
        <w:rPr>
          <w:rFonts w:ascii="Calibri" w:eastAsia="Calibri" w:hAnsi="Calibri" w:cs="Times New Roman"/>
          <w:i/>
          <w:iCs/>
          <w:color w:val="4472C4" w:themeColor="accent1"/>
        </w:rPr>
      </w:pPr>
      <w:r w:rsidRPr="00974971">
        <w:rPr>
          <w:rFonts w:ascii="Calibri" w:eastAsia="Calibri" w:hAnsi="Calibri" w:cs="Times New Roman"/>
          <w:i/>
          <w:iCs/>
          <w:color w:val="4472C4" w:themeColor="accent1"/>
        </w:rPr>
        <w:t xml:space="preserve">Sono sanzionabili secondo il </w:t>
      </w:r>
      <w:proofErr w:type="spellStart"/>
      <w:r w:rsidRPr="00974971">
        <w:rPr>
          <w:rFonts w:ascii="Calibri" w:eastAsia="Calibri" w:hAnsi="Calibri" w:cs="Times New Roman"/>
          <w:i/>
          <w:iCs/>
          <w:color w:val="4472C4" w:themeColor="accent1"/>
        </w:rPr>
        <w:t>D.lgs</w:t>
      </w:r>
      <w:proofErr w:type="spellEnd"/>
      <w:r w:rsidRPr="00974971">
        <w:rPr>
          <w:rFonts w:ascii="Calibri" w:eastAsia="Calibri" w:hAnsi="Calibri" w:cs="Times New Roman"/>
          <w:i/>
          <w:iCs/>
          <w:color w:val="4472C4" w:themeColor="accent1"/>
        </w:rPr>
        <w:t xml:space="preserve"> 133/2009 art. 14:</w:t>
      </w:r>
    </w:p>
    <w:p w14:paraId="0D8B8007" w14:textId="36907CC9" w:rsidR="001C20E0" w:rsidRPr="00974971" w:rsidRDefault="001C20E0" w:rsidP="085B2EC0">
      <w:pPr>
        <w:pStyle w:val="Paragrafoelenco"/>
        <w:numPr>
          <w:ilvl w:val="0"/>
          <w:numId w:val="20"/>
        </w:numPr>
        <w:spacing w:before="80" w:after="120" w:line="264" w:lineRule="auto"/>
        <w:jc w:val="both"/>
        <w:rPr>
          <w:i/>
          <w:iCs/>
          <w:color w:val="4472C4" w:themeColor="accent1"/>
        </w:rPr>
      </w:pPr>
      <w:r w:rsidRPr="085B2EC0">
        <w:rPr>
          <w:i/>
          <w:iCs/>
          <w:color w:val="4472C4" w:themeColor="accent1"/>
        </w:rPr>
        <w:t>il fabbricante, l’importatore, il rappresentante esclusivo o l’utilizzatore a valle che immette sul mercato o utilizza una sostanza inclusa nell'allegato XIV senza autorizzazione</w:t>
      </w:r>
      <w:r w:rsidR="3FF35B81" w:rsidRPr="085B2EC0">
        <w:rPr>
          <w:i/>
          <w:iCs/>
          <w:color w:val="4472C4" w:themeColor="accent1"/>
        </w:rPr>
        <w:t>.</w:t>
      </w:r>
      <w:r w:rsidRPr="085B2EC0">
        <w:rPr>
          <w:i/>
          <w:iCs/>
          <w:color w:val="4472C4" w:themeColor="accent1"/>
        </w:rPr>
        <w:t xml:space="preserve"> Se un utilizzatore a valle utilizza una sostanza in </w:t>
      </w:r>
      <w:proofErr w:type="spellStart"/>
      <w:r w:rsidRPr="085B2EC0">
        <w:rPr>
          <w:i/>
          <w:iCs/>
          <w:color w:val="4472C4" w:themeColor="accent1"/>
        </w:rPr>
        <w:t>annex</w:t>
      </w:r>
      <w:proofErr w:type="spellEnd"/>
      <w:r w:rsidRPr="085B2EC0">
        <w:rPr>
          <w:i/>
          <w:iCs/>
          <w:color w:val="4472C4" w:themeColor="accent1"/>
        </w:rPr>
        <w:t xml:space="preserve"> XIV in modo non conforme alle condizioni previste da un'autorizzazione rilasciata per tale uso ad un attore situato a monte della catena d'approvvigionamento arresto fino a tre mesi o con l’ammenda da euro 40.000 - 150.000 €. </w:t>
      </w:r>
    </w:p>
    <w:p w14:paraId="3BBB5333" w14:textId="36CAB950" w:rsidR="001C20E0" w:rsidRPr="00C62E96" w:rsidRDefault="001C20E0" w:rsidP="085B2EC0">
      <w:pPr>
        <w:pStyle w:val="Paragrafoelenco"/>
        <w:numPr>
          <w:ilvl w:val="0"/>
          <w:numId w:val="20"/>
        </w:numPr>
        <w:spacing w:before="80" w:after="120" w:line="264" w:lineRule="auto"/>
        <w:jc w:val="both"/>
        <w:rPr>
          <w:rFonts w:ascii="Calibri" w:eastAsia="Times New Roman" w:hAnsi="Calibri" w:cs="Arial"/>
          <w:color w:val="4472C4" w:themeColor="accent1"/>
          <w:u w:val="single"/>
          <w:lang w:eastAsia="it-IT"/>
        </w:rPr>
      </w:pPr>
      <w:r w:rsidRPr="085B2EC0">
        <w:rPr>
          <w:i/>
          <w:iCs/>
          <w:color w:val="4472C4" w:themeColor="accent1"/>
        </w:rPr>
        <w:t>il fabbricante, l’importatore, il rappresentante esclusivo o l’utilizzatore a valle che immette sul mercato o utilizza una sostanza inclusa nell'allegato XIV senza autorizzazione</w:t>
      </w:r>
      <w:r w:rsidR="43763B68" w:rsidRPr="085B2EC0">
        <w:rPr>
          <w:i/>
          <w:iCs/>
          <w:color w:val="4472C4" w:themeColor="accent1"/>
        </w:rPr>
        <w:t>.</w:t>
      </w:r>
      <w:r w:rsidRPr="085B2EC0">
        <w:rPr>
          <w:i/>
          <w:iCs/>
          <w:color w:val="4472C4" w:themeColor="accent1"/>
        </w:rPr>
        <w:t xml:space="preserve"> Se un utilizzatore a valle utilizza una sostanza in </w:t>
      </w:r>
      <w:proofErr w:type="spellStart"/>
      <w:r w:rsidRPr="085B2EC0">
        <w:rPr>
          <w:i/>
          <w:iCs/>
          <w:color w:val="4472C4" w:themeColor="accent1"/>
        </w:rPr>
        <w:t>annex</w:t>
      </w:r>
      <w:proofErr w:type="spellEnd"/>
      <w:r w:rsidRPr="085B2EC0">
        <w:rPr>
          <w:i/>
          <w:iCs/>
          <w:color w:val="4472C4" w:themeColor="accent1"/>
        </w:rPr>
        <w:t xml:space="preserve"> XIV in modo non conforme alle condizioni previste da un'autorizzazione rilasciata per tale uso ad un attore situato a monte della catena d'approvvigionamento arresto fino a tre mesi o con l’ammenda da euro </w:t>
      </w:r>
      <w:r w:rsidRPr="085B2EC0">
        <w:rPr>
          <w:color w:val="4472C4" w:themeColor="accent1"/>
        </w:rPr>
        <w:t>40.000 - 150.000 €.</w:t>
      </w:r>
    </w:p>
    <w:p w14:paraId="456BEBD5" w14:textId="77777777" w:rsidR="00C62E96" w:rsidRPr="00974971" w:rsidRDefault="00C62E96" w:rsidP="00C62E96">
      <w:pPr>
        <w:pStyle w:val="Paragrafoelenco"/>
        <w:spacing w:before="80" w:after="120" w:line="264" w:lineRule="auto"/>
        <w:jc w:val="both"/>
        <w:rPr>
          <w:rFonts w:ascii="Calibri" w:eastAsia="Times New Roman" w:hAnsi="Calibri" w:cs="Arial"/>
          <w:iCs/>
          <w:color w:val="4472C4" w:themeColor="accent1"/>
          <w:u w:val="single"/>
          <w:lang w:eastAsia="it-IT"/>
        </w:rPr>
      </w:pPr>
    </w:p>
    <w:p w14:paraId="794FBAC3" w14:textId="3F456682" w:rsidR="001C20E0"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54" w:name="_Toc126664595"/>
      <w:bookmarkStart w:id="55" w:name="_Hlk55995359"/>
      <w:bookmarkStart w:id="56" w:name="_Hlk55995317"/>
      <w:r>
        <w:rPr>
          <w:rFonts w:ascii="Calibri" w:eastAsia="Times New Roman" w:hAnsi="Calibri" w:cs="Times New Roman"/>
          <w:b/>
          <w:iCs/>
          <w:snapToGrid w:val="0"/>
          <w:sz w:val="24"/>
          <w:szCs w:val="20"/>
          <w:lang w:eastAsia="it-IT"/>
        </w:rPr>
        <w:t>22</w:t>
      </w:r>
      <w:r w:rsidR="001C20E0" w:rsidRPr="004A27E4">
        <w:rPr>
          <w:rFonts w:ascii="Calibri" w:eastAsia="Times New Roman" w:hAnsi="Calibri" w:cs="Times New Roman"/>
          <w:b/>
          <w:iCs/>
          <w:snapToGrid w:val="0"/>
          <w:sz w:val="24"/>
          <w:szCs w:val="20"/>
          <w:lang w:eastAsia="it-IT"/>
        </w:rPr>
        <w:t>- Sostanze incluse nell’allegato XVII (Restrizioni)</w:t>
      </w:r>
      <w:bookmarkEnd w:id="54"/>
    </w:p>
    <w:p w14:paraId="02BCB0F9" w14:textId="77777777" w:rsidR="001C20E0" w:rsidRPr="001F2B93" w:rsidRDefault="001C20E0" w:rsidP="001C20E0">
      <w:pPr>
        <w:spacing w:before="80" w:after="120" w:line="264" w:lineRule="auto"/>
        <w:jc w:val="both"/>
        <w:rPr>
          <w:rFonts w:ascii="Calibri" w:eastAsia="Calibri" w:hAnsi="Calibri" w:cs="Times New Roman"/>
          <w:i/>
          <w:iCs/>
        </w:rPr>
      </w:pPr>
      <w:r w:rsidRPr="001F2B93">
        <w:rPr>
          <w:rFonts w:ascii="Calibri" w:eastAsia="Calibri" w:hAnsi="Calibri" w:cs="Times New Roman"/>
          <w:i/>
          <w:iCs/>
        </w:rPr>
        <w:t>Riferimenti:</w:t>
      </w:r>
      <w:r w:rsidRPr="001F2B93">
        <w:rPr>
          <w:rFonts w:ascii="Calibri" w:eastAsia="Times New Roman" w:hAnsi="Calibri" w:cs="Times New Roman"/>
          <w:szCs w:val="20"/>
          <w:lang w:eastAsia="it-IT"/>
        </w:rPr>
        <w:t xml:space="preserve"> </w:t>
      </w:r>
      <w:r w:rsidRPr="001F2B93">
        <w:rPr>
          <w:rFonts w:ascii="Calibri" w:eastAsia="Calibri" w:hAnsi="Calibri" w:cs="Times New Roman"/>
          <w:i/>
          <w:iCs/>
        </w:rPr>
        <w:t>art.67 REACH</w:t>
      </w:r>
      <w:r>
        <w:rPr>
          <w:rFonts w:ascii="Calibri" w:eastAsia="Calibri" w:hAnsi="Calibri" w:cs="Times New Roman"/>
          <w:i/>
          <w:iCs/>
        </w:rPr>
        <w:t xml:space="preserve">, </w:t>
      </w:r>
      <w:hyperlink r:id="rId13" w:history="1">
        <w:r w:rsidRPr="00560FF5">
          <w:rPr>
            <w:rStyle w:val="Collegamentoipertestuale"/>
          </w:rPr>
          <w:t>https://echa.europa.eu/it/substances-restricted-under-reach</w:t>
        </w:r>
      </w:hyperlink>
    </w:p>
    <w:p w14:paraId="1BDDE3C0" w14:textId="13DEB0C6" w:rsidR="001C20E0" w:rsidRPr="001F2B93" w:rsidRDefault="001C20E0" w:rsidP="001C20E0">
      <w:pPr>
        <w:spacing w:before="80" w:after="120" w:line="264" w:lineRule="auto"/>
        <w:jc w:val="both"/>
        <w:rPr>
          <w:rFonts w:ascii="Calibri" w:eastAsia="Calibri" w:hAnsi="Calibri" w:cs="Times New Roman"/>
          <w:i/>
          <w:iCs/>
        </w:rPr>
      </w:pPr>
      <w:r w:rsidRPr="001F2B93">
        <w:rPr>
          <w:rFonts w:ascii="Calibri" w:eastAsia="Calibri" w:hAnsi="Calibri" w:cs="Times New Roman"/>
          <w:i/>
          <w:iCs/>
        </w:rPr>
        <w:t>Linee guida: Guida all'Allegato XV per le restrizioni,</w:t>
      </w:r>
      <w:r w:rsidRPr="001F2B93">
        <w:rPr>
          <w:rFonts w:ascii="Calibri" w:eastAsia="Times New Roman" w:hAnsi="Calibri" w:cs="Times New Roman"/>
          <w:szCs w:val="20"/>
          <w:lang w:eastAsia="it-IT"/>
        </w:rPr>
        <w:t xml:space="preserve"> </w:t>
      </w:r>
      <w:r w:rsidRPr="001F2B93">
        <w:rPr>
          <w:rFonts w:ascii="Calibri" w:eastAsia="Calibri" w:hAnsi="Calibri" w:cs="Times New Roman"/>
          <w:i/>
          <w:iCs/>
        </w:rPr>
        <w:t>Orientamenti sull'analisi socioeconomica - Restrizioni</w:t>
      </w:r>
    </w:p>
    <w:bookmarkEnd w:id="55"/>
    <w:p w14:paraId="2A77056F"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Le restrizioni sono uno strumento per proteggere la salute umana e l’ambiente da rischi inaccettabili presentati dalle sostanze chimiche. Le restrizioni sono di norma utilizzate per limitare o vietare la produzione, immissione sul mercato (inclusa l’importazione) o l’utilizzo di una sostanza, ma possono imporre qualsiasi condizione pertinente, quali ad esempio misure tecniche o particolari etichette.</w:t>
      </w:r>
    </w:p>
    <w:p w14:paraId="33184526"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Una restrizione può riguardare una sostanza in quanto tale o in quanto componente di miscele o presente in articoli, ivi incluse sostanze non soggette a obbligo di registrazione, quali, ad esempio, sostanze prodotte o importate in quantitativi inferiori ad una tonnellata all’anno o alcuni polimeri.</w:t>
      </w:r>
    </w:p>
    <w:p w14:paraId="452183C4" w14:textId="77777777" w:rsidR="001C20E0" w:rsidRPr="00974971" w:rsidRDefault="001C20E0" w:rsidP="001C20E0">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Sostanze intermedie isolate in sito, sostanze utilizzate nella ricerca e sviluppo scientifici e sostanze che pongono rischi alla salute umana solo se usate in cosmetici sono esentate dalla classificazione come sostanze a cui si applica la restrizione REACH.</w:t>
      </w:r>
    </w:p>
    <w:p w14:paraId="31C8E28D" w14:textId="77777777" w:rsidR="001C20E0" w:rsidRPr="00974971" w:rsidRDefault="001C20E0" w:rsidP="001C20E0">
      <w:pPr>
        <w:spacing w:before="80" w:after="120" w:line="264" w:lineRule="auto"/>
        <w:jc w:val="both"/>
        <w:rPr>
          <w:rFonts w:ascii="Calibri" w:eastAsia="Calibri" w:hAnsi="Calibri" w:cs="Times New Roman"/>
          <w:i/>
          <w:iCs/>
          <w:color w:val="4472C4" w:themeColor="accent1"/>
        </w:rPr>
      </w:pPr>
      <w:r w:rsidRPr="00974971">
        <w:rPr>
          <w:rFonts w:ascii="Calibri" w:eastAsia="Calibri" w:hAnsi="Calibri" w:cs="Times New Roman"/>
          <w:i/>
          <w:iCs/>
          <w:color w:val="4472C4" w:themeColor="accent1"/>
        </w:rPr>
        <w:t xml:space="preserve">Sono sanzionabili secondo il </w:t>
      </w:r>
      <w:proofErr w:type="spellStart"/>
      <w:r w:rsidRPr="00974971">
        <w:rPr>
          <w:rFonts w:ascii="Calibri" w:eastAsia="Calibri" w:hAnsi="Calibri" w:cs="Times New Roman"/>
          <w:i/>
          <w:iCs/>
          <w:color w:val="4472C4" w:themeColor="accent1"/>
        </w:rPr>
        <w:t>D.lgs</w:t>
      </w:r>
      <w:proofErr w:type="spellEnd"/>
      <w:r w:rsidRPr="00974971">
        <w:rPr>
          <w:rFonts w:ascii="Calibri" w:eastAsia="Calibri" w:hAnsi="Calibri" w:cs="Times New Roman"/>
          <w:i/>
          <w:iCs/>
          <w:color w:val="4472C4" w:themeColor="accent1"/>
        </w:rPr>
        <w:t xml:space="preserve"> 133/2009 art. 16:</w:t>
      </w:r>
    </w:p>
    <w:p w14:paraId="02A807BA" w14:textId="77777777" w:rsidR="001C20E0" w:rsidRPr="00974971" w:rsidRDefault="001C20E0" w:rsidP="001C20E0">
      <w:pPr>
        <w:spacing w:before="80" w:after="120" w:line="264" w:lineRule="auto"/>
        <w:jc w:val="both"/>
        <w:rPr>
          <w:rFonts w:ascii="Calibri" w:eastAsia="Calibri" w:hAnsi="Calibri" w:cs="Times New Roman"/>
          <w:i/>
          <w:iCs/>
          <w:color w:val="4472C4" w:themeColor="accent1"/>
          <w:u w:val="single"/>
        </w:rPr>
      </w:pPr>
      <w:r w:rsidRPr="00974971">
        <w:rPr>
          <w:i/>
          <w:iCs/>
          <w:color w:val="4472C4" w:themeColor="accent1"/>
        </w:rPr>
        <w:t>Chi fabbrica, immette sul mercato o utilizza una sostanza, in quanto tale o in quanto componente di un preparato o di un articolo, per la quale l'allegato XVII prevede una restrizione non ottemperando alle condizioni di tale restrizione arresto fino a tre mesi o con l’ammenda da euro 40.000 - 150.000 €.</w:t>
      </w:r>
    </w:p>
    <w:p w14:paraId="2552ECB6" w14:textId="77777777" w:rsidR="001C20E0" w:rsidRPr="00974971" w:rsidRDefault="001C20E0" w:rsidP="001F2B93">
      <w:pPr>
        <w:spacing w:before="80" w:after="120" w:line="264" w:lineRule="auto"/>
        <w:jc w:val="both"/>
        <w:rPr>
          <w:rFonts w:ascii="Calibri" w:eastAsia="Calibri" w:hAnsi="Calibri" w:cs="Times New Roman"/>
          <w:b/>
          <w:bCs/>
          <w:color w:val="4472C4" w:themeColor="accent1"/>
        </w:rPr>
      </w:pPr>
    </w:p>
    <w:p w14:paraId="5B7546F3" w14:textId="647A5C05" w:rsidR="001F2B93" w:rsidRPr="004A27E4"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57" w:name="_Toc126664596"/>
      <w:r>
        <w:rPr>
          <w:rFonts w:ascii="Calibri" w:eastAsia="Times New Roman" w:hAnsi="Calibri" w:cs="Times New Roman"/>
          <w:b/>
          <w:iCs/>
          <w:snapToGrid w:val="0"/>
          <w:sz w:val="24"/>
          <w:szCs w:val="20"/>
          <w:lang w:eastAsia="it-IT"/>
        </w:rPr>
        <w:lastRenderedPageBreak/>
        <w:t>23</w:t>
      </w:r>
      <w:r w:rsidR="001F2B93" w:rsidRPr="004A27E4">
        <w:rPr>
          <w:rFonts w:ascii="Calibri" w:eastAsia="Times New Roman" w:hAnsi="Calibri" w:cs="Times New Roman"/>
          <w:b/>
          <w:iCs/>
          <w:snapToGrid w:val="0"/>
          <w:sz w:val="24"/>
          <w:szCs w:val="20"/>
          <w:lang w:eastAsia="it-IT"/>
        </w:rPr>
        <w:t>- Notifica delle</w:t>
      </w:r>
      <w:r w:rsidR="00AA1F1F">
        <w:rPr>
          <w:rFonts w:ascii="Calibri" w:eastAsia="Times New Roman" w:hAnsi="Calibri" w:cs="Times New Roman"/>
          <w:b/>
          <w:iCs/>
          <w:snapToGrid w:val="0"/>
          <w:sz w:val="24"/>
          <w:szCs w:val="20"/>
          <w:lang w:eastAsia="it-IT"/>
        </w:rPr>
        <w:t xml:space="preserve"> sostanze</w:t>
      </w:r>
      <w:r w:rsidR="001F2B93" w:rsidRPr="004A27E4">
        <w:rPr>
          <w:rFonts w:ascii="Calibri" w:eastAsia="Times New Roman" w:hAnsi="Calibri" w:cs="Times New Roman"/>
          <w:b/>
          <w:iCs/>
          <w:snapToGrid w:val="0"/>
          <w:sz w:val="24"/>
          <w:szCs w:val="20"/>
          <w:lang w:eastAsia="it-IT"/>
        </w:rPr>
        <w:t xml:space="preserve"> SVHC present</w:t>
      </w:r>
      <w:r w:rsidR="001C20E0" w:rsidRPr="004A27E4">
        <w:rPr>
          <w:rFonts w:ascii="Calibri" w:eastAsia="Times New Roman" w:hAnsi="Calibri" w:cs="Times New Roman"/>
          <w:b/>
          <w:iCs/>
          <w:snapToGrid w:val="0"/>
          <w:sz w:val="24"/>
          <w:szCs w:val="20"/>
          <w:lang w:eastAsia="it-IT"/>
        </w:rPr>
        <w:t>i</w:t>
      </w:r>
      <w:r w:rsidR="001F2B93" w:rsidRPr="004A27E4">
        <w:rPr>
          <w:rFonts w:ascii="Calibri" w:eastAsia="Times New Roman" w:hAnsi="Calibri" w:cs="Times New Roman"/>
          <w:b/>
          <w:iCs/>
          <w:snapToGrid w:val="0"/>
          <w:sz w:val="24"/>
          <w:szCs w:val="20"/>
          <w:lang w:eastAsia="it-IT"/>
        </w:rPr>
        <w:t xml:space="preserve"> nell’articolo</w:t>
      </w:r>
      <w:bookmarkEnd w:id="57"/>
    </w:p>
    <w:p w14:paraId="1EFAA47D" w14:textId="77777777" w:rsidR="001C20E0" w:rsidRDefault="001F2B93" w:rsidP="001C20E0">
      <w:pPr>
        <w:spacing w:before="80" w:after="120" w:line="264" w:lineRule="auto"/>
        <w:jc w:val="both"/>
        <w:rPr>
          <w:rFonts w:ascii="Calibri" w:eastAsia="Calibri" w:hAnsi="Calibri" w:cs="Times New Roman"/>
          <w:i/>
          <w:iCs/>
        </w:rPr>
      </w:pPr>
      <w:bookmarkStart w:id="58" w:name="_Hlk55985266"/>
      <w:r w:rsidRPr="001F2B93">
        <w:rPr>
          <w:rFonts w:ascii="Calibri" w:eastAsia="Calibri" w:hAnsi="Calibri" w:cs="Times New Roman"/>
          <w:i/>
          <w:iCs/>
        </w:rPr>
        <w:t xml:space="preserve">Riferimenti: </w:t>
      </w:r>
      <w:bookmarkEnd w:id="58"/>
      <w:r w:rsidRPr="001F2B93">
        <w:rPr>
          <w:rFonts w:ascii="Calibri" w:eastAsia="Calibri" w:hAnsi="Calibri" w:cs="Times New Roman"/>
          <w:i/>
          <w:iCs/>
        </w:rPr>
        <w:t>art. 7 (2)</w:t>
      </w:r>
    </w:p>
    <w:p w14:paraId="19C777FF" w14:textId="78C7AB11" w:rsidR="001C20E0" w:rsidRPr="001F2B93" w:rsidRDefault="001C20E0" w:rsidP="001C20E0">
      <w:pPr>
        <w:spacing w:before="80" w:after="120" w:line="264" w:lineRule="auto"/>
        <w:jc w:val="both"/>
        <w:rPr>
          <w:rFonts w:ascii="Calibri" w:eastAsia="Calibri" w:hAnsi="Calibri" w:cs="Times New Roman"/>
          <w:i/>
          <w:iCs/>
        </w:rPr>
      </w:pPr>
      <w:r w:rsidRPr="001C20E0">
        <w:t xml:space="preserve"> </w:t>
      </w:r>
      <w:hyperlink r:id="rId14" w:history="1">
        <w:r w:rsidRPr="006B1616">
          <w:rPr>
            <w:rStyle w:val="Collegamentoipertestuale"/>
          </w:rPr>
          <w:t>https://echa.europa.eu/it/regulations/reach/candidate-list-substances-in-articles/notification-of-substances-in-articles</w:t>
        </w:r>
      </w:hyperlink>
    </w:p>
    <w:p w14:paraId="6DD32C66" w14:textId="0479A039" w:rsidR="001F2B93" w:rsidRDefault="001F2B93" w:rsidP="001F2B93">
      <w:pPr>
        <w:spacing w:before="80" w:after="120" w:line="264" w:lineRule="auto"/>
        <w:jc w:val="both"/>
        <w:rPr>
          <w:rFonts w:ascii="Calibri" w:eastAsia="Calibri" w:hAnsi="Calibri" w:cs="Times New Roman"/>
          <w:i/>
          <w:iCs/>
        </w:rPr>
      </w:pPr>
      <w:r w:rsidRPr="001F2B93">
        <w:rPr>
          <w:rFonts w:ascii="Calibri" w:eastAsia="Calibri" w:hAnsi="Calibri" w:cs="Times New Roman"/>
          <w:i/>
          <w:iCs/>
        </w:rPr>
        <w:t xml:space="preserve">Linee guida: Orientamenti sugli obblighi per le sostanze presenti negli articoli </w:t>
      </w:r>
      <w:proofErr w:type="gramStart"/>
      <w:r w:rsidRPr="001F2B93">
        <w:rPr>
          <w:rFonts w:ascii="Calibri" w:eastAsia="Calibri" w:hAnsi="Calibri" w:cs="Times New Roman"/>
          <w:i/>
          <w:iCs/>
        </w:rPr>
        <w:t>Giugno</w:t>
      </w:r>
      <w:proofErr w:type="gramEnd"/>
      <w:r w:rsidRPr="001F2B93">
        <w:rPr>
          <w:rFonts w:ascii="Calibri" w:eastAsia="Calibri" w:hAnsi="Calibri" w:cs="Times New Roman"/>
          <w:i/>
          <w:iCs/>
        </w:rPr>
        <w:t xml:space="preserve"> 2017 Versione 4.0</w:t>
      </w:r>
    </w:p>
    <w:bookmarkEnd w:id="56"/>
    <w:p w14:paraId="13331AC2" w14:textId="77777777" w:rsidR="00AD3004" w:rsidRPr="00974971" w:rsidRDefault="00AD3004" w:rsidP="00AD3004">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I produttori e gli importatori devono notificare all'ECHA le sostanze enumerate nell'elenco di sostanze candidate presenti nei loro articoli, se si verificano entrambe le condizioni:</w:t>
      </w:r>
    </w:p>
    <w:p w14:paraId="61CD67B7" w14:textId="6DFFA7C5" w:rsidR="00AD3004" w:rsidRPr="00974971" w:rsidRDefault="00AD3004" w:rsidP="085B2EC0">
      <w:pPr>
        <w:pStyle w:val="Paragrafoelenco"/>
        <w:numPr>
          <w:ilvl w:val="0"/>
          <w:numId w:val="10"/>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La sostanza è presente negli articoli di riferimento in concentrazione superiore allo 0,1% peso per peso</w:t>
      </w:r>
      <w:r w:rsidR="4659F1E5" w:rsidRPr="085B2EC0">
        <w:rPr>
          <w:rFonts w:ascii="Calibri" w:eastAsia="Times New Roman" w:hAnsi="Calibri" w:cs="Arial"/>
          <w:i/>
          <w:iCs/>
          <w:color w:val="4472C4" w:themeColor="accent1"/>
          <w:lang w:eastAsia="it-IT"/>
        </w:rPr>
        <w:t>;</w:t>
      </w:r>
    </w:p>
    <w:p w14:paraId="2010B332" w14:textId="0D592B65" w:rsidR="00AD3004" w:rsidRPr="00974971" w:rsidRDefault="00AD3004" w:rsidP="085B2EC0">
      <w:pPr>
        <w:pStyle w:val="Paragrafoelenco"/>
        <w:numPr>
          <w:ilvl w:val="0"/>
          <w:numId w:val="10"/>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La sostanza è presente in quegli articoli di riferimento in quantità superiori a una tonnellata all'anno</w:t>
      </w:r>
      <w:r w:rsidR="6E72185E" w:rsidRPr="085B2EC0">
        <w:rPr>
          <w:rFonts w:ascii="Calibri" w:eastAsia="Times New Roman" w:hAnsi="Calibri" w:cs="Arial"/>
          <w:i/>
          <w:iCs/>
          <w:color w:val="4472C4" w:themeColor="accent1"/>
          <w:lang w:eastAsia="it-IT"/>
        </w:rPr>
        <w:t>;</w:t>
      </w:r>
    </w:p>
    <w:p w14:paraId="3BB7453A" w14:textId="77777777" w:rsidR="00AD3004" w:rsidRPr="00974971" w:rsidRDefault="00AD3004" w:rsidP="00AD3004">
      <w:pPr>
        <w:pStyle w:val="Paragrafoelenco"/>
        <w:numPr>
          <w:ilvl w:val="0"/>
          <w:numId w:val="10"/>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Le aziende devono effettuare la notifica non oltre sei mesi dopo l'inclusione della sostanza nell'elenco di sostanze candidate.</w:t>
      </w:r>
    </w:p>
    <w:p w14:paraId="52129745" w14:textId="77777777" w:rsidR="00AD3004" w:rsidRPr="00974971" w:rsidRDefault="00AD3004" w:rsidP="00AD3004">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Esenzioni</w:t>
      </w:r>
    </w:p>
    <w:p w14:paraId="2E4218DF" w14:textId="77777777" w:rsidR="00AD3004" w:rsidRPr="00974971" w:rsidRDefault="00AD3004" w:rsidP="00AD3004">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Vi sono due casi in cui una notifica non viene richiesta.</w:t>
      </w:r>
    </w:p>
    <w:p w14:paraId="5BDF8954" w14:textId="145D5F5E" w:rsidR="00AD3004" w:rsidRPr="00974971" w:rsidRDefault="00AD3004" w:rsidP="085B2EC0">
      <w:pPr>
        <w:pStyle w:val="Paragrafoelenco"/>
        <w:numPr>
          <w:ilvl w:val="0"/>
          <w:numId w:val="11"/>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Il produttore o l'importatore di un articolo può escludere l'esposizione degli esseri umani e dell'ambiente alle sostanze durante condizioni d'uso normali o ragionevolmente prevedibili dell'articolo, compreso il suo smaltimento. In questi casi il produttore o l'importatore fornirà istruzioni adeguate al destinatario dell'articolo</w:t>
      </w:r>
      <w:r w:rsidR="5DCCA697" w:rsidRPr="085B2EC0">
        <w:rPr>
          <w:rFonts w:ascii="Calibri" w:eastAsia="Times New Roman" w:hAnsi="Calibri" w:cs="Arial"/>
          <w:i/>
          <w:iCs/>
          <w:color w:val="4472C4" w:themeColor="accent1"/>
          <w:lang w:eastAsia="it-IT"/>
        </w:rPr>
        <w:t>;</w:t>
      </w:r>
    </w:p>
    <w:p w14:paraId="2C202722" w14:textId="2EC3A045" w:rsidR="00AD3004" w:rsidRPr="00974971" w:rsidRDefault="00AD3004" w:rsidP="00AD3004">
      <w:pPr>
        <w:pStyle w:val="Paragrafoelenco"/>
        <w:numPr>
          <w:ilvl w:val="0"/>
          <w:numId w:val="11"/>
        </w:numPr>
        <w:spacing w:before="80" w:after="120" w:line="264" w:lineRule="auto"/>
        <w:jc w:val="both"/>
        <w:rPr>
          <w:rFonts w:ascii="Calibri" w:eastAsia="Calibri" w:hAnsi="Calibri" w:cs="Times New Roman"/>
          <w:color w:val="4472C4" w:themeColor="accent1"/>
          <w:u w:val="single"/>
        </w:rPr>
      </w:pPr>
      <w:r w:rsidRPr="00974971">
        <w:rPr>
          <w:rFonts w:ascii="Calibri" w:eastAsia="Times New Roman" w:hAnsi="Calibri" w:cs="Arial"/>
          <w:i/>
          <w:color w:val="4472C4" w:themeColor="accent1"/>
          <w:lang w:eastAsia="it-IT"/>
        </w:rPr>
        <w:t>Per tale uso la sostanza è già stata registrata nell'UE da un produttore o un importatore.</w:t>
      </w:r>
    </w:p>
    <w:p w14:paraId="07DC967C" w14:textId="7CFAA237" w:rsidR="003D794D" w:rsidRPr="00974971" w:rsidRDefault="003D794D" w:rsidP="003D794D">
      <w:pPr>
        <w:spacing w:before="80" w:after="120" w:line="264" w:lineRule="auto"/>
        <w:jc w:val="both"/>
        <w:rPr>
          <w:rFonts w:ascii="Calibri" w:eastAsia="Calibri" w:hAnsi="Calibri" w:cs="Times New Roman"/>
          <w:i/>
          <w:iCs/>
          <w:color w:val="4472C4" w:themeColor="accent1"/>
        </w:rPr>
      </w:pPr>
      <w:bookmarkStart w:id="59" w:name="_Hlk55995333"/>
      <w:r w:rsidRPr="00974971">
        <w:rPr>
          <w:rFonts w:ascii="Calibri" w:eastAsia="Calibri" w:hAnsi="Calibri" w:cs="Times New Roman"/>
          <w:i/>
          <w:iCs/>
          <w:color w:val="4472C4" w:themeColor="accent1"/>
        </w:rPr>
        <w:t xml:space="preserve">Sono sanzionabili ai sensi del </w:t>
      </w:r>
      <w:proofErr w:type="spellStart"/>
      <w:r w:rsidRPr="00974971">
        <w:rPr>
          <w:rFonts w:ascii="Calibri" w:eastAsia="Calibri" w:hAnsi="Calibri" w:cs="Times New Roman"/>
          <w:i/>
          <w:iCs/>
          <w:color w:val="4472C4" w:themeColor="accent1"/>
        </w:rPr>
        <w:t>D.lgs</w:t>
      </w:r>
      <w:proofErr w:type="spellEnd"/>
      <w:r w:rsidRPr="00974971">
        <w:rPr>
          <w:rFonts w:ascii="Calibri" w:eastAsia="Calibri" w:hAnsi="Calibri" w:cs="Times New Roman"/>
          <w:i/>
          <w:iCs/>
          <w:color w:val="4472C4" w:themeColor="accent1"/>
        </w:rPr>
        <w:t xml:space="preserve"> 133/2009 art. 3:</w:t>
      </w:r>
    </w:p>
    <w:p w14:paraId="2ED39058" w14:textId="4C1C87D1" w:rsidR="003D794D" w:rsidRPr="00974971" w:rsidRDefault="003D794D" w:rsidP="085B2EC0">
      <w:pPr>
        <w:pStyle w:val="Paragrafoelenco"/>
        <w:numPr>
          <w:ilvl w:val="0"/>
          <w:numId w:val="17"/>
        </w:numPr>
        <w:spacing w:before="80" w:after="120" w:line="264" w:lineRule="auto"/>
        <w:jc w:val="both"/>
        <w:rPr>
          <w:rFonts w:ascii="Calibri" w:eastAsia="Calibri" w:hAnsi="Calibri" w:cs="Times New Roman"/>
          <w:i/>
          <w:iCs/>
          <w:color w:val="4472C4" w:themeColor="accent1"/>
        </w:rPr>
      </w:pPr>
      <w:r w:rsidRPr="085B2EC0">
        <w:rPr>
          <w:rFonts w:ascii="Calibri" w:eastAsia="Calibri" w:hAnsi="Calibri" w:cs="Times New Roman"/>
          <w:i/>
          <w:iCs/>
          <w:color w:val="4472C4" w:themeColor="accent1"/>
        </w:rPr>
        <w:t>Mancata registrazione di sostanza in articoli (&gt;1T/anno e rilascio intenzionale) 15.000 - 90.000</w:t>
      </w:r>
      <w:r w:rsidR="3E7A2B28" w:rsidRPr="085B2EC0">
        <w:rPr>
          <w:rFonts w:ascii="Calibri" w:eastAsia="Calibri" w:hAnsi="Calibri" w:cs="Times New Roman"/>
          <w:i/>
          <w:iCs/>
          <w:color w:val="4472C4" w:themeColor="accent1"/>
        </w:rPr>
        <w:t xml:space="preserve"> €;</w:t>
      </w:r>
    </w:p>
    <w:p w14:paraId="046EE524" w14:textId="3D8C90A7" w:rsidR="00786281" w:rsidRPr="00C62E96" w:rsidRDefault="003D794D" w:rsidP="085B2EC0">
      <w:pPr>
        <w:pStyle w:val="Paragrafoelenco"/>
        <w:numPr>
          <w:ilvl w:val="0"/>
          <w:numId w:val="17"/>
        </w:numPr>
        <w:spacing w:before="80" w:after="120" w:line="264" w:lineRule="auto"/>
        <w:jc w:val="both"/>
        <w:rPr>
          <w:rFonts w:ascii="Calibri" w:eastAsia="Calibri" w:hAnsi="Calibri" w:cs="Times New Roman"/>
          <w:i/>
          <w:iCs/>
          <w:color w:val="4472C4" w:themeColor="accent1"/>
        </w:rPr>
      </w:pPr>
      <w:r w:rsidRPr="085B2EC0">
        <w:rPr>
          <w:rFonts w:ascii="Calibri" w:eastAsia="Calibri" w:hAnsi="Calibri" w:cs="Times New Roman"/>
          <w:i/>
          <w:iCs/>
          <w:color w:val="4472C4" w:themeColor="accent1"/>
        </w:rPr>
        <w:t>Mancata notifica di sostanza in articoli SVHC (candidate list) e &gt;0,1%</w:t>
      </w:r>
      <w:r w:rsidR="342E92FD" w:rsidRPr="085B2EC0">
        <w:rPr>
          <w:rFonts w:ascii="Calibri" w:eastAsia="Calibri" w:hAnsi="Calibri" w:cs="Times New Roman"/>
          <w:i/>
          <w:iCs/>
          <w:color w:val="4472C4" w:themeColor="accent1"/>
        </w:rPr>
        <w:t>,</w:t>
      </w:r>
      <w:r w:rsidR="6E42C5F3" w:rsidRPr="085B2EC0">
        <w:rPr>
          <w:rFonts w:ascii="Calibri" w:eastAsia="Calibri" w:hAnsi="Calibri" w:cs="Times New Roman"/>
          <w:i/>
          <w:iCs/>
          <w:color w:val="4472C4" w:themeColor="accent1"/>
        </w:rPr>
        <w:t xml:space="preserve"> </w:t>
      </w:r>
      <w:r w:rsidRPr="085B2EC0">
        <w:rPr>
          <w:rFonts w:ascii="Calibri" w:eastAsia="Calibri" w:hAnsi="Calibri" w:cs="Times New Roman"/>
          <w:i/>
          <w:iCs/>
          <w:color w:val="4472C4" w:themeColor="accent1"/>
        </w:rPr>
        <w:t>15.000</w:t>
      </w:r>
      <w:r w:rsidR="6696FCD6" w:rsidRPr="085B2EC0">
        <w:rPr>
          <w:rFonts w:ascii="Calibri" w:eastAsia="Calibri" w:hAnsi="Calibri" w:cs="Times New Roman"/>
          <w:i/>
          <w:iCs/>
          <w:color w:val="4472C4" w:themeColor="accent1"/>
        </w:rPr>
        <w:t xml:space="preserve"> </w:t>
      </w:r>
      <w:proofErr w:type="gramStart"/>
      <w:r w:rsidR="59D4C926" w:rsidRPr="085B2EC0">
        <w:rPr>
          <w:rFonts w:ascii="Calibri" w:eastAsia="Calibri" w:hAnsi="Calibri" w:cs="Times New Roman"/>
          <w:i/>
          <w:iCs/>
          <w:color w:val="4472C4" w:themeColor="accent1"/>
        </w:rPr>
        <w:t>€</w:t>
      </w:r>
      <w:r w:rsidR="0EB9C7EA" w:rsidRPr="085B2EC0">
        <w:rPr>
          <w:rFonts w:ascii="Calibri" w:eastAsia="Calibri" w:hAnsi="Calibri" w:cs="Times New Roman"/>
          <w:i/>
          <w:iCs/>
          <w:color w:val="4472C4" w:themeColor="accent1"/>
        </w:rPr>
        <w:t xml:space="preserve"> </w:t>
      </w:r>
      <w:r w:rsidR="238339DF" w:rsidRPr="085B2EC0">
        <w:rPr>
          <w:rFonts w:ascii="Calibri" w:eastAsia="Calibri" w:hAnsi="Calibri" w:cs="Times New Roman"/>
          <w:i/>
          <w:iCs/>
          <w:color w:val="4472C4" w:themeColor="accent1"/>
        </w:rPr>
        <w:t>.</w:t>
      </w:r>
      <w:proofErr w:type="gramEnd"/>
    </w:p>
    <w:p w14:paraId="64032E51" w14:textId="77777777" w:rsidR="00C62E96" w:rsidRPr="00974971" w:rsidRDefault="00C62E96" w:rsidP="00C62E96">
      <w:pPr>
        <w:pStyle w:val="Paragrafoelenco"/>
        <w:spacing w:before="80" w:after="120" w:line="264" w:lineRule="auto"/>
        <w:jc w:val="both"/>
        <w:rPr>
          <w:rFonts w:ascii="Calibri" w:eastAsia="Calibri" w:hAnsi="Calibri" w:cs="Times New Roman"/>
          <w:color w:val="4472C4" w:themeColor="accent1"/>
        </w:rPr>
      </w:pPr>
    </w:p>
    <w:p w14:paraId="732ECCE4" w14:textId="4016A5C8" w:rsidR="00254980" w:rsidRPr="0077688D" w:rsidRDefault="001C20E0" w:rsidP="00C62E96">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60" w:name="_Toc126664597"/>
      <w:bookmarkStart w:id="61" w:name="_Hlk55995412"/>
      <w:bookmarkEnd w:id="59"/>
      <w:r w:rsidRPr="0077688D">
        <w:rPr>
          <w:rFonts w:ascii="Calibri" w:eastAsia="Times New Roman" w:hAnsi="Calibri" w:cs="Times New Roman"/>
          <w:b/>
          <w:iCs/>
          <w:snapToGrid w:val="0"/>
          <w:sz w:val="24"/>
          <w:szCs w:val="20"/>
          <w:lang w:eastAsia="it-IT"/>
        </w:rPr>
        <w:t>NOTIFICHE ALL’ECHA E ISS</w:t>
      </w:r>
      <w:bookmarkEnd w:id="60"/>
    </w:p>
    <w:p w14:paraId="1C0D2A26" w14:textId="77777777" w:rsidR="001C20E0" w:rsidRDefault="001C20E0" w:rsidP="001F2B93">
      <w:pPr>
        <w:spacing w:before="80" w:after="120" w:line="264" w:lineRule="auto"/>
        <w:jc w:val="both"/>
        <w:rPr>
          <w:rFonts w:ascii="Calibri" w:eastAsia="Times New Roman" w:hAnsi="Calibri" w:cs="Arial"/>
          <w:b/>
          <w:bCs/>
          <w:iCs/>
          <w:lang w:eastAsia="it-IT"/>
        </w:rPr>
      </w:pPr>
    </w:p>
    <w:p w14:paraId="73E70F9B" w14:textId="38F2C5DE" w:rsidR="001F2B93" w:rsidRPr="0077688D"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62" w:name="_Toc126664598"/>
      <w:r>
        <w:rPr>
          <w:rFonts w:ascii="Calibri" w:eastAsia="Times New Roman" w:hAnsi="Calibri" w:cs="Times New Roman"/>
          <w:b/>
          <w:iCs/>
          <w:snapToGrid w:val="0"/>
          <w:sz w:val="24"/>
          <w:szCs w:val="20"/>
          <w:lang w:eastAsia="it-IT"/>
        </w:rPr>
        <w:t>24</w:t>
      </w:r>
      <w:r w:rsidR="001F2B93" w:rsidRPr="0077688D">
        <w:rPr>
          <w:rFonts w:ascii="Calibri" w:eastAsia="Times New Roman" w:hAnsi="Calibri" w:cs="Times New Roman"/>
          <w:b/>
          <w:iCs/>
          <w:snapToGrid w:val="0"/>
          <w:sz w:val="24"/>
          <w:szCs w:val="20"/>
          <w:lang w:eastAsia="it-IT"/>
        </w:rPr>
        <w:t>- Notifica al database C&amp;L della classificazione</w:t>
      </w:r>
      <w:bookmarkEnd w:id="62"/>
    </w:p>
    <w:p w14:paraId="523B23B3" w14:textId="065BB270" w:rsidR="00177158" w:rsidRPr="001F2B93" w:rsidRDefault="001F2B93" w:rsidP="001F2B93">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Riferimenti:</w:t>
      </w:r>
      <w:r w:rsidRPr="001F2B93">
        <w:rPr>
          <w:rFonts w:ascii="Calibri" w:eastAsia="Times New Roman" w:hAnsi="Calibri" w:cs="Times New Roman"/>
          <w:i/>
          <w:szCs w:val="20"/>
          <w:lang w:eastAsia="it-IT"/>
        </w:rPr>
        <w:t xml:space="preserve"> </w:t>
      </w:r>
      <w:r w:rsidRPr="001F2B93">
        <w:rPr>
          <w:rFonts w:ascii="Calibri" w:eastAsia="Times New Roman" w:hAnsi="Calibri" w:cs="Arial"/>
          <w:i/>
          <w:lang w:eastAsia="it-IT"/>
        </w:rPr>
        <w:t>Art.39,40 CLP</w:t>
      </w:r>
      <w:r w:rsidR="00177158">
        <w:rPr>
          <w:rFonts w:ascii="Calibri" w:eastAsia="Times New Roman" w:hAnsi="Calibri" w:cs="Arial"/>
          <w:i/>
          <w:lang w:eastAsia="it-IT"/>
        </w:rPr>
        <w:t>,</w:t>
      </w:r>
      <w:r w:rsidR="00177158" w:rsidRPr="00177158">
        <w:t xml:space="preserve"> </w:t>
      </w:r>
      <w:hyperlink r:id="rId15" w:history="1">
        <w:r w:rsidR="00177158" w:rsidRPr="00005428">
          <w:rPr>
            <w:rStyle w:val="Collegamentoipertestuale"/>
            <w:rFonts w:ascii="Calibri" w:eastAsia="Times New Roman" w:hAnsi="Calibri" w:cs="Arial"/>
            <w:i/>
            <w:lang w:eastAsia="it-IT"/>
          </w:rPr>
          <w:t>https://echa.europa.eu/it/information-on-chemicals/cl-inventory-database</w:t>
        </w:r>
      </w:hyperlink>
    </w:p>
    <w:p w14:paraId="1B3E9C23" w14:textId="77777777" w:rsidR="001F2B93" w:rsidRPr="001F2B93" w:rsidRDefault="001F2B93" w:rsidP="001F2B93">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Linee guida:</w:t>
      </w:r>
      <w:r w:rsidRPr="001F2B93">
        <w:rPr>
          <w:rFonts w:ascii="Calibri" w:eastAsia="Times New Roman" w:hAnsi="Calibri" w:cs="Times New Roman"/>
          <w:i/>
          <w:szCs w:val="20"/>
          <w:lang w:eastAsia="it-IT"/>
        </w:rPr>
        <w:t xml:space="preserve"> </w:t>
      </w:r>
      <w:hyperlink r:id="rId16" w:history="1">
        <w:r w:rsidRPr="001F2B93">
          <w:rPr>
            <w:rFonts w:ascii="Calibri" w:eastAsia="Times New Roman" w:hAnsi="Calibri" w:cs="Arial"/>
            <w:i/>
            <w:color w:val="0000FF"/>
            <w:u w:val="single"/>
            <w:lang w:eastAsia="it-IT"/>
          </w:rPr>
          <w:t>https://echa.europa.eu/it/support/dossier-submission-tools/reach-it/notification-to-the-cl-inventory</w:t>
        </w:r>
      </w:hyperlink>
      <w:r w:rsidRPr="001F2B93">
        <w:rPr>
          <w:rFonts w:ascii="Calibri" w:eastAsia="Times New Roman" w:hAnsi="Calibri" w:cs="Arial"/>
          <w:i/>
          <w:lang w:eastAsia="it-IT"/>
        </w:rPr>
        <w:t xml:space="preserve"> Come notificare le sostanze nell‘inventario delle classificazioni ed etichettature Guida pratica 7 Versione 1.1 giugno 2012</w:t>
      </w:r>
    </w:p>
    <w:bookmarkEnd w:id="61"/>
    <w:p w14:paraId="6C82CBC3" w14:textId="77777777" w:rsidR="00515ACC" w:rsidRPr="00974971" w:rsidRDefault="00515ACC" w:rsidP="00515ACC">
      <w:pPr>
        <w:spacing w:before="80" w:after="120" w:line="264" w:lineRule="auto"/>
        <w:jc w:val="both"/>
        <w:rPr>
          <w:rFonts w:ascii="Calibri" w:eastAsia="Times New Roman" w:hAnsi="Calibri" w:cs="Arial"/>
          <w:i/>
          <w:color w:val="4472C4" w:themeColor="accent1"/>
          <w:lang w:eastAsia="it-IT"/>
        </w:rPr>
      </w:pPr>
      <w:r w:rsidRPr="00974971">
        <w:rPr>
          <w:i/>
          <w:iCs/>
          <w:color w:val="4472C4" w:themeColor="accent1"/>
        </w:rPr>
        <w:t>La notifica di una sostanza nell'inventario delle classificazioni e delle etichettature deve avvenire entro un mese dalla sua immissione sul mercato e il notificante</w:t>
      </w:r>
      <w:r w:rsidRPr="00974971">
        <w:rPr>
          <w:rFonts w:ascii="Calibri" w:eastAsia="Times New Roman" w:hAnsi="Calibri" w:cs="Arial"/>
          <w:i/>
          <w:color w:val="4472C4" w:themeColor="accent1"/>
          <w:lang w:eastAsia="it-IT"/>
        </w:rPr>
        <w:t>:</w:t>
      </w:r>
    </w:p>
    <w:p w14:paraId="31C47BDD" w14:textId="4E7A55FE" w:rsidR="00515ACC" w:rsidRPr="00974971" w:rsidRDefault="00515ACC" w:rsidP="085B2EC0">
      <w:pPr>
        <w:pStyle w:val="Paragrafoelenco"/>
        <w:numPr>
          <w:ilvl w:val="0"/>
          <w:numId w:val="24"/>
        </w:numPr>
        <w:spacing w:before="80" w:after="120" w:line="264" w:lineRule="auto"/>
        <w:jc w:val="both"/>
        <w:rPr>
          <w:i/>
          <w:iCs/>
          <w:color w:val="4472C4" w:themeColor="accent1"/>
        </w:rPr>
      </w:pPr>
      <w:proofErr w:type="spellStart"/>
      <w:r w:rsidRPr="085B2EC0">
        <w:rPr>
          <w:i/>
          <w:iCs/>
          <w:color w:val="4472C4" w:themeColor="accent1"/>
        </w:rPr>
        <w:t>si</w:t>
      </w:r>
      <w:proofErr w:type="spellEnd"/>
      <w:r w:rsidRPr="085B2EC0">
        <w:rPr>
          <w:i/>
          <w:iCs/>
          <w:color w:val="4472C4" w:themeColor="accent1"/>
        </w:rPr>
        <w:t xml:space="preserve"> fabbrichi la sostanza e questa sia soggetta all'obbligo di registrazione a norma del regolamento REACH; </w:t>
      </w:r>
    </w:p>
    <w:p w14:paraId="7246B3F4" w14:textId="00B06ADE" w:rsidR="00515ACC" w:rsidRPr="00974971" w:rsidRDefault="00515ACC" w:rsidP="085B2EC0">
      <w:pPr>
        <w:spacing w:before="80" w:after="120" w:line="264" w:lineRule="auto"/>
        <w:jc w:val="both"/>
        <w:rPr>
          <w:i/>
          <w:iCs/>
          <w:color w:val="4472C4" w:themeColor="accent1"/>
        </w:rPr>
      </w:pPr>
      <w:r w:rsidRPr="085B2EC0">
        <w:rPr>
          <w:i/>
          <w:iCs/>
          <w:color w:val="4472C4" w:themeColor="accent1"/>
        </w:rPr>
        <w:t>oppure</w:t>
      </w:r>
    </w:p>
    <w:p w14:paraId="2B45D7E3" w14:textId="06AB9A17" w:rsidR="00515ACC" w:rsidRPr="00974971" w:rsidRDefault="00515ACC" w:rsidP="085B2EC0">
      <w:pPr>
        <w:pStyle w:val="Paragrafoelenco"/>
        <w:numPr>
          <w:ilvl w:val="0"/>
          <w:numId w:val="24"/>
        </w:numPr>
        <w:spacing w:before="80" w:after="120" w:line="264" w:lineRule="auto"/>
        <w:jc w:val="both"/>
        <w:rPr>
          <w:i/>
          <w:iCs/>
          <w:color w:val="4472C4" w:themeColor="accent1"/>
        </w:rPr>
      </w:pPr>
      <w:proofErr w:type="spellStart"/>
      <w:r w:rsidRPr="085B2EC0">
        <w:rPr>
          <w:i/>
          <w:iCs/>
          <w:color w:val="4472C4" w:themeColor="accent1"/>
        </w:rPr>
        <w:t>si</w:t>
      </w:r>
      <w:proofErr w:type="spellEnd"/>
      <w:r w:rsidRPr="085B2EC0">
        <w:rPr>
          <w:i/>
          <w:iCs/>
          <w:color w:val="4472C4" w:themeColor="accent1"/>
        </w:rPr>
        <w:t xml:space="preserve"> importi la sostanza e questa sia soggetta all'obbligo di registrazione a norma del regolamento REACH; </w:t>
      </w:r>
    </w:p>
    <w:p w14:paraId="1D727B13" w14:textId="26DF578B" w:rsidR="00515ACC" w:rsidRPr="00974971" w:rsidRDefault="00515ACC" w:rsidP="085B2EC0">
      <w:pPr>
        <w:spacing w:before="80" w:after="120" w:line="264" w:lineRule="auto"/>
        <w:jc w:val="both"/>
        <w:rPr>
          <w:i/>
          <w:iCs/>
          <w:color w:val="4472C4" w:themeColor="accent1"/>
        </w:rPr>
      </w:pPr>
      <w:r w:rsidRPr="085B2EC0">
        <w:rPr>
          <w:i/>
          <w:iCs/>
          <w:color w:val="4472C4" w:themeColor="accent1"/>
        </w:rPr>
        <w:t>oppure</w:t>
      </w:r>
    </w:p>
    <w:p w14:paraId="0022E13E" w14:textId="789BF710" w:rsidR="00515ACC" w:rsidRPr="00974971" w:rsidRDefault="00515ACC" w:rsidP="085B2EC0">
      <w:pPr>
        <w:pStyle w:val="Paragrafoelenco"/>
        <w:numPr>
          <w:ilvl w:val="0"/>
          <w:numId w:val="24"/>
        </w:numPr>
        <w:spacing w:before="80" w:after="120" w:line="264" w:lineRule="auto"/>
        <w:jc w:val="both"/>
        <w:rPr>
          <w:i/>
          <w:iCs/>
          <w:color w:val="4472C4" w:themeColor="accent1"/>
        </w:rPr>
      </w:pPr>
      <w:proofErr w:type="spellStart"/>
      <w:r w:rsidRPr="085B2EC0">
        <w:rPr>
          <w:i/>
          <w:iCs/>
          <w:color w:val="4472C4" w:themeColor="accent1"/>
        </w:rPr>
        <w:lastRenderedPageBreak/>
        <w:t>si</w:t>
      </w:r>
      <w:proofErr w:type="spellEnd"/>
      <w:r w:rsidRPr="085B2EC0">
        <w:rPr>
          <w:i/>
          <w:iCs/>
          <w:color w:val="4472C4" w:themeColor="accent1"/>
        </w:rPr>
        <w:t xml:space="preserve"> fabbrichi o si importi la sostanza e questa sia classificata come pericolosa, a prescindere dal quantitativo; </w:t>
      </w:r>
    </w:p>
    <w:p w14:paraId="4BE83CE0" w14:textId="70CB089B" w:rsidR="00515ACC" w:rsidRPr="00974971" w:rsidRDefault="00515ACC" w:rsidP="085B2EC0">
      <w:pPr>
        <w:spacing w:before="80" w:after="120" w:line="264" w:lineRule="auto"/>
        <w:jc w:val="both"/>
        <w:rPr>
          <w:i/>
          <w:iCs/>
          <w:color w:val="4472C4" w:themeColor="accent1"/>
        </w:rPr>
      </w:pPr>
      <w:r w:rsidRPr="085B2EC0">
        <w:rPr>
          <w:i/>
          <w:iCs/>
          <w:color w:val="4472C4" w:themeColor="accent1"/>
        </w:rPr>
        <w:t>oppure</w:t>
      </w:r>
    </w:p>
    <w:p w14:paraId="6A182DB8" w14:textId="4010D339" w:rsidR="00515ACC" w:rsidRPr="00974971" w:rsidRDefault="00515ACC" w:rsidP="085B2EC0">
      <w:pPr>
        <w:pStyle w:val="Paragrafoelenco"/>
        <w:numPr>
          <w:ilvl w:val="0"/>
          <w:numId w:val="24"/>
        </w:numPr>
        <w:spacing w:before="80" w:after="120" w:line="264" w:lineRule="auto"/>
        <w:jc w:val="both"/>
        <w:rPr>
          <w:i/>
          <w:iCs/>
          <w:color w:val="4472C4" w:themeColor="accent1"/>
        </w:rPr>
      </w:pPr>
      <w:proofErr w:type="spellStart"/>
      <w:r w:rsidRPr="085B2EC0">
        <w:rPr>
          <w:i/>
          <w:iCs/>
          <w:color w:val="4472C4" w:themeColor="accent1"/>
        </w:rPr>
        <w:t>si</w:t>
      </w:r>
      <w:proofErr w:type="spellEnd"/>
      <w:r w:rsidRPr="085B2EC0">
        <w:rPr>
          <w:i/>
          <w:iCs/>
          <w:color w:val="4472C4" w:themeColor="accent1"/>
        </w:rPr>
        <w:t xml:space="preserve"> importi una miscela contenente la sostanza che sia classificata come pericolosa e sia presente in quantitativi superiori al limite di concentrazione pertinente, con la conseguente classificazione della miscela come pericolosa ai sensi del regolamento CLP; </w:t>
      </w:r>
    </w:p>
    <w:p w14:paraId="27744753" w14:textId="36A5961E" w:rsidR="00515ACC" w:rsidRPr="00974971" w:rsidRDefault="00515ACC" w:rsidP="085B2EC0">
      <w:pPr>
        <w:spacing w:before="80" w:after="120" w:line="264" w:lineRule="auto"/>
        <w:jc w:val="both"/>
        <w:rPr>
          <w:i/>
          <w:iCs/>
          <w:color w:val="4472C4" w:themeColor="accent1"/>
        </w:rPr>
      </w:pPr>
      <w:r w:rsidRPr="085B2EC0">
        <w:rPr>
          <w:i/>
          <w:iCs/>
          <w:color w:val="4472C4" w:themeColor="accent1"/>
        </w:rPr>
        <w:t>oppure</w:t>
      </w:r>
    </w:p>
    <w:p w14:paraId="77F3251A" w14:textId="1BE9062D" w:rsidR="001F2B93" w:rsidRPr="00974971" w:rsidRDefault="00515ACC" w:rsidP="001C20E0">
      <w:pPr>
        <w:pStyle w:val="Paragrafoelenco"/>
        <w:numPr>
          <w:ilvl w:val="0"/>
          <w:numId w:val="24"/>
        </w:numPr>
        <w:spacing w:before="80" w:after="120" w:line="264" w:lineRule="auto"/>
        <w:jc w:val="both"/>
        <w:rPr>
          <w:i/>
          <w:iCs/>
          <w:color w:val="4472C4" w:themeColor="accent1"/>
        </w:rPr>
      </w:pPr>
      <w:proofErr w:type="spellStart"/>
      <w:r w:rsidRPr="00974971">
        <w:rPr>
          <w:i/>
          <w:iCs/>
          <w:color w:val="4472C4" w:themeColor="accent1"/>
        </w:rPr>
        <w:t>si</w:t>
      </w:r>
      <w:proofErr w:type="spellEnd"/>
      <w:r w:rsidRPr="00974971">
        <w:rPr>
          <w:i/>
          <w:iCs/>
          <w:color w:val="4472C4" w:themeColor="accent1"/>
        </w:rPr>
        <w:t xml:space="preserve"> importi un articolo contenente sostanze soggette all'obbligo di registrazione in base all'articolo 7 del regolamento REACH.</w:t>
      </w:r>
    </w:p>
    <w:p w14:paraId="0E3CD278" w14:textId="77777777" w:rsidR="007E3ED1" w:rsidRPr="00974971" w:rsidRDefault="007E3ED1" w:rsidP="007E3ED1">
      <w:pPr>
        <w:jc w:val="both"/>
        <w:rPr>
          <w:rFonts w:ascii="Calibri" w:eastAsia="Calibri" w:hAnsi="Calibri" w:cs="Times New Roman"/>
          <w:i/>
          <w:iCs/>
          <w:color w:val="4472C4" w:themeColor="accent1"/>
        </w:rPr>
      </w:pPr>
      <w:bookmarkStart w:id="63" w:name="_Hlk58840173"/>
      <w:bookmarkStart w:id="64" w:name="_Hlk55995442"/>
      <w:r w:rsidRPr="00974971">
        <w:rPr>
          <w:rFonts w:ascii="Calibri" w:eastAsia="Calibri" w:hAnsi="Calibri" w:cs="Times New Roman"/>
          <w:i/>
          <w:iCs/>
          <w:color w:val="4472C4" w:themeColor="accent1"/>
        </w:rPr>
        <w:t>Sono sanzionabili secondo il</w:t>
      </w:r>
      <w:r w:rsidRPr="00974971">
        <w:rPr>
          <w:i/>
          <w:iCs/>
          <w:color w:val="4472C4" w:themeColor="accent1"/>
        </w:rPr>
        <w:t xml:space="preserve"> </w:t>
      </w:r>
      <w:proofErr w:type="spellStart"/>
      <w:r w:rsidRPr="00974971">
        <w:rPr>
          <w:i/>
          <w:iCs/>
          <w:color w:val="4472C4" w:themeColor="accent1"/>
        </w:rPr>
        <w:t>d.lgs</w:t>
      </w:r>
      <w:proofErr w:type="spellEnd"/>
      <w:r w:rsidRPr="00974971">
        <w:rPr>
          <w:i/>
          <w:iCs/>
          <w:color w:val="4472C4" w:themeColor="accent1"/>
        </w:rPr>
        <w:t xml:space="preserve"> 186/2011 art 7</w:t>
      </w:r>
      <w:bookmarkEnd w:id="63"/>
      <w:r w:rsidRPr="00974971">
        <w:rPr>
          <w:i/>
          <w:iCs/>
          <w:color w:val="4472C4" w:themeColor="accent1"/>
        </w:rPr>
        <w:t>:</w:t>
      </w:r>
    </w:p>
    <w:p w14:paraId="0C85542E" w14:textId="0F89139E" w:rsidR="007E3ED1" w:rsidRPr="00974971" w:rsidRDefault="007E3ED1" w:rsidP="085B2EC0">
      <w:pPr>
        <w:pStyle w:val="Paragrafoelenco"/>
        <w:numPr>
          <w:ilvl w:val="0"/>
          <w:numId w:val="24"/>
        </w:numPr>
        <w:spacing w:before="80" w:after="120" w:line="264" w:lineRule="auto"/>
        <w:jc w:val="both"/>
        <w:rPr>
          <w:i/>
          <w:iCs/>
          <w:color w:val="4472C4" w:themeColor="accent1"/>
        </w:rPr>
      </w:pPr>
      <w:r w:rsidRPr="085B2EC0">
        <w:rPr>
          <w:i/>
          <w:iCs/>
          <w:color w:val="4472C4" w:themeColor="accent1"/>
        </w:rPr>
        <w:t>Art 40.1 e 40.3 del CLP obbligo di notifica all’inventario CL dell’ECHA entro un mese dall’immissione e relativo aggiornamento: altrimenti 5.000</w:t>
      </w:r>
      <w:r w:rsidR="1FCA003C" w:rsidRPr="085B2EC0">
        <w:rPr>
          <w:i/>
          <w:iCs/>
          <w:color w:val="4472C4" w:themeColor="accent1"/>
        </w:rPr>
        <w:t xml:space="preserve"> </w:t>
      </w:r>
      <w:r w:rsidRPr="085B2EC0">
        <w:rPr>
          <w:i/>
          <w:iCs/>
          <w:color w:val="4472C4" w:themeColor="accent1"/>
        </w:rPr>
        <w:t>-</w:t>
      </w:r>
      <w:r w:rsidR="065B3EA2" w:rsidRPr="085B2EC0">
        <w:rPr>
          <w:i/>
          <w:iCs/>
          <w:color w:val="4472C4" w:themeColor="accent1"/>
        </w:rPr>
        <w:t xml:space="preserve"> </w:t>
      </w:r>
      <w:r w:rsidRPr="085B2EC0">
        <w:rPr>
          <w:i/>
          <w:iCs/>
          <w:color w:val="4472C4" w:themeColor="accent1"/>
        </w:rPr>
        <w:t>30.000 €</w:t>
      </w:r>
    </w:p>
    <w:p w14:paraId="3249176F" w14:textId="77777777" w:rsidR="007E3ED1" w:rsidRDefault="007E3ED1" w:rsidP="001F2B93">
      <w:pPr>
        <w:spacing w:before="80" w:after="120" w:line="264" w:lineRule="auto"/>
        <w:jc w:val="both"/>
      </w:pPr>
    </w:p>
    <w:p w14:paraId="45E35C1E" w14:textId="0F296293" w:rsidR="001F2B93" w:rsidRPr="002851FE" w:rsidRDefault="000B0523"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65" w:name="_Toc126664599"/>
      <w:r>
        <w:rPr>
          <w:rFonts w:ascii="Calibri" w:eastAsia="Times New Roman" w:hAnsi="Calibri" w:cs="Times New Roman"/>
          <w:b/>
          <w:iCs/>
          <w:snapToGrid w:val="0"/>
          <w:sz w:val="24"/>
          <w:szCs w:val="20"/>
          <w:lang w:eastAsia="it-IT"/>
        </w:rPr>
        <w:t>25</w:t>
      </w:r>
      <w:r w:rsidR="001F2B93" w:rsidRPr="002851FE">
        <w:rPr>
          <w:rFonts w:ascii="Calibri" w:eastAsia="Times New Roman" w:hAnsi="Calibri" w:cs="Times New Roman"/>
          <w:b/>
          <w:iCs/>
          <w:snapToGrid w:val="0"/>
          <w:sz w:val="24"/>
          <w:szCs w:val="20"/>
          <w:lang w:eastAsia="it-IT"/>
        </w:rPr>
        <w:t>- Notifica al database di ISS Archivio preparati pericolosi</w:t>
      </w:r>
      <w:bookmarkEnd w:id="65"/>
    </w:p>
    <w:p w14:paraId="3E51C689" w14:textId="77777777" w:rsidR="001F2B93" w:rsidRPr="001F2B93" w:rsidRDefault="001F2B93" w:rsidP="001F2B93">
      <w:pPr>
        <w:spacing w:before="80" w:after="120" w:line="264" w:lineRule="auto"/>
        <w:jc w:val="both"/>
        <w:rPr>
          <w:rFonts w:ascii="Calibri" w:eastAsia="Times New Roman" w:hAnsi="Calibri" w:cs="Arial"/>
          <w:iCs/>
          <w:lang w:eastAsia="it-IT"/>
        </w:rPr>
      </w:pPr>
      <w:r w:rsidRPr="001F2B93">
        <w:rPr>
          <w:rFonts w:ascii="Calibri" w:eastAsia="Times New Roman" w:hAnsi="Calibri" w:cs="Arial"/>
          <w:i/>
          <w:lang w:eastAsia="it-IT"/>
        </w:rPr>
        <w:t>Riferimenti:</w:t>
      </w:r>
      <w:r w:rsidRPr="001F2B93">
        <w:rPr>
          <w:rFonts w:ascii="Calibri" w:eastAsia="Times New Roman" w:hAnsi="Calibri" w:cs="Times New Roman"/>
          <w:i/>
          <w:szCs w:val="20"/>
          <w:lang w:eastAsia="it-IT"/>
        </w:rPr>
        <w:t xml:space="preserve"> </w:t>
      </w:r>
      <w:r w:rsidRPr="001F2B93">
        <w:rPr>
          <w:rFonts w:ascii="Calibri" w:eastAsia="Times New Roman" w:hAnsi="Calibri" w:cs="Arial"/>
          <w:i/>
          <w:lang w:eastAsia="it-IT"/>
        </w:rPr>
        <w:t xml:space="preserve">art.45 CLP, </w:t>
      </w:r>
      <w:proofErr w:type="spellStart"/>
      <w:r w:rsidRPr="001F2B93">
        <w:rPr>
          <w:rFonts w:ascii="Calibri" w:eastAsia="Times New Roman" w:hAnsi="Calibri" w:cs="Arial"/>
          <w:i/>
          <w:lang w:eastAsia="it-IT"/>
        </w:rPr>
        <w:t>D.lgs</w:t>
      </w:r>
      <w:proofErr w:type="spellEnd"/>
      <w:r w:rsidRPr="001F2B93">
        <w:rPr>
          <w:rFonts w:ascii="Calibri" w:eastAsia="Times New Roman" w:hAnsi="Calibri" w:cs="Arial"/>
          <w:i/>
          <w:lang w:eastAsia="it-IT"/>
        </w:rPr>
        <w:t xml:space="preserve"> 65/2003</w:t>
      </w:r>
    </w:p>
    <w:p w14:paraId="623A553A" w14:textId="77777777" w:rsidR="001F2B93" w:rsidRPr="001F2B93" w:rsidRDefault="001F2B93" w:rsidP="001F2B93">
      <w:pPr>
        <w:spacing w:before="80" w:after="120" w:line="264" w:lineRule="auto"/>
        <w:jc w:val="both"/>
        <w:rPr>
          <w:rFonts w:ascii="Calibri" w:eastAsia="Times New Roman" w:hAnsi="Calibri" w:cs="Arial"/>
          <w:iCs/>
          <w:lang w:eastAsia="it-IT"/>
        </w:rPr>
      </w:pPr>
      <w:r w:rsidRPr="001F2B93">
        <w:rPr>
          <w:rFonts w:ascii="Calibri" w:eastAsia="Times New Roman" w:hAnsi="Calibri" w:cs="Arial"/>
          <w:i/>
          <w:lang w:eastAsia="it-IT"/>
        </w:rPr>
        <w:t>Linee guida:</w:t>
      </w:r>
      <w:r w:rsidRPr="001F2B93">
        <w:rPr>
          <w:rFonts w:ascii="Calibri" w:eastAsia="Times New Roman" w:hAnsi="Calibri" w:cs="Times New Roman"/>
          <w:i/>
          <w:szCs w:val="20"/>
          <w:lang w:eastAsia="it-IT"/>
        </w:rPr>
        <w:t xml:space="preserve"> </w:t>
      </w:r>
      <w:hyperlink r:id="rId17" w:history="1">
        <w:r w:rsidRPr="001F2B93">
          <w:rPr>
            <w:rFonts w:ascii="Calibri" w:eastAsia="Times New Roman" w:hAnsi="Calibri" w:cs="Arial"/>
            <w:i/>
            <w:color w:val="0000FF"/>
            <w:u w:val="single"/>
            <w:lang w:eastAsia="it-IT"/>
          </w:rPr>
          <w:t>https://preparatipericolosi.iss.it/</w:t>
        </w:r>
      </w:hyperlink>
    </w:p>
    <w:bookmarkEnd w:id="64"/>
    <w:p w14:paraId="54568537" w14:textId="412EBFA3" w:rsidR="00515ACC" w:rsidRPr="00974971" w:rsidRDefault="00515ACC"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L'Archivio Preparati Pericolosi rappresenta un punto di riferimento di primaria importanza nel quadro della prevenzione e della protezione dei consumatori e dei lavoratori esposti accidentalmente o professionalmente a prodotti chimici. L'accesso immediato alla composizione chimica dei preparati pericolosi presenti sul mercato nazionale consentirà, soprattutto, tempi di intervento molto pi</w:t>
      </w:r>
      <w:r w:rsidR="709A4455" w:rsidRPr="085B2EC0">
        <w:rPr>
          <w:rFonts w:ascii="Calibri" w:eastAsia="Times New Roman" w:hAnsi="Calibri" w:cs="Arial"/>
          <w:i/>
          <w:iCs/>
          <w:color w:val="4472C4" w:themeColor="accent1"/>
          <w:lang w:eastAsia="it-IT"/>
        </w:rPr>
        <w:t xml:space="preserve">ù </w:t>
      </w:r>
      <w:r w:rsidRPr="085B2EC0">
        <w:rPr>
          <w:rFonts w:ascii="Calibri" w:eastAsia="Times New Roman" w:hAnsi="Calibri" w:cs="Arial"/>
          <w:i/>
          <w:iCs/>
          <w:color w:val="4472C4" w:themeColor="accent1"/>
          <w:lang w:eastAsia="it-IT"/>
        </w:rPr>
        <w:t>rapidi in caso di intossicazione accidentale, ma renderà anche più efficaci gli interventi in materia di prevenzione.</w:t>
      </w:r>
    </w:p>
    <w:p w14:paraId="68111E6E" w14:textId="77777777" w:rsidR="00515ACC" w:rsidRPr="00974971" w:rsidRDefault="00515ACC" w:rsidP="00515ACC">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Inoltre, secondo quanto disposto all'articolo 3 comma 1 del Decreto Legislativo 6 febbraio 2009, n.21 concernente l'esecuzione delle disposizioni di cui al regolamento (CE) n. 648/2004 del 31 marzo 2004 relativo ai detergenti, all'Archivio Preparati Pericolosi confluiscono le schede tecniche dei detergenti aventi l'elenco degli ingredienti di sui all'articolo 9 paragrafo 3 del regolamento 648/2008 secondo le specifiche dell'allegato VII parte C del medesimo regolamento come modificato, successivamente, dal regolamento 907/2006 del 20 giugno 2006.</w:t>
      </w:r>
    </w:p>
    <w:p w14:paraId="0E71A653" w14:textId="77777777" w:rsidR="00515ACC" w:rsidRPr="00974971" w:rsidRDefault="00515ACC" w:rsidP="00515ACC">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In deroga all'obbligo di compilare il formulario tramite sito web, viene consentito alle aziende che dispongono di propri archivi informatizzati di trasferire i dati richiesti in un formato compatibile con il data base di gestione dell'archivio. A tale scopo viene messo a disposizione delle aziende il tracciato dei record relativo al file di acquisizione dati.</w:t>
      </w:r>
    </w:p>
    <w:p w14:paraId="45F48E29" w14:textId="66B688E4" w:rsidR="00515ACC" w:rsidRPr="00974971" w:rsidRDefault="00515ACC"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Per quanto riguarda invece la possibilità di trasferire i dati presenti nei database interni delle aziende in un formato compatibile con il database di gestione dell'archivio preparati, trattandosi di una procedura concessa in deroga alla regola generale, l'ISS non potrà fornire alcuna assistenza tecnica alle aziende, che dovranno gestire in proprio conto tale operazione, eventualmente rivolgendosi a consulenti esterni, sui quali l'ISS non assume alcuna responsabili</w:t>
      </w:r>
      <w:r w:rsidR="0B905302" w:rsidRPr="085B2EC0">
        <w:rPr>
          <w:rFonts w:ascii="Calibri" w:eastAsia="Times New Roman" w:hAnsi="Calibri" w:cs="Arial"/>
          <w:i/>
          <w:iCs/>
          <w:color w:val="4472C4" w:themeColor="accent1"/>
          <w:lang w:eastAsia="it-IT"/>
        </w:rPr>
        <w:t>t</w:t>
      </w:r>
      <w:r w:rsidRPr="085B2EC0">
        <w:rPr>
          <w:rFonts w:ascii="Calibri" w:eastAsia="Times New Roman" w:hAnsi="Calibri" w:cs="Arial"/>
          <w:i/>
          <w:iCs/>
          <w:color w:val="4472C4" w:themeColor="accent1"/>
          <w:lang w:eastAsia="it-IT"/>
        </w:rPr>
        <w:t>à.</w:t>
      </w:r>
    </w:p>
    <w:p w14:paraId="3131E43A" w14:textId="39639715" w:rsidR="00515ACC" w:rsidRPr="00974971" w:rsidRDefault="00515ACC"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ATTENZIONE: La registrazione al database è riservata alle aziende che devono comunicare le informazioni di cui al </w:t>
      </w:r>
      <w:proofErr w:type="spellStart"/>
      <w:r w:rsidRPr="085B2EC0">
        <w:rPr>
          <w:rFonts w:ascii="Calibri" w:eastAsia="Times New Roman" w:hAnsi="Calibri" w:cs="Arial"/>
          <w:i/>
          <w:iCs/>
          <w:color w:val="4472C4" w:themeColor="accent1"/>
          <w:lang w:eastAsia="it-IT"/>
        </w:rPr>
        <w:t>D.Lgs.</w:t>
      </w:r>
      <w:proofErr w:type="spellEnd"/>
      <w:r w:rsidR="40279E38" w:rsidRPr="085B2EC0">
        <w:rPr>
          <w:rFonts w:ascii="Calibri" w:eastAsia="Times New Roman" w:hAnsi="Calibri" w:cs="Arial"/>
          <w:i/>
          <w:iCs/>
          <w:color w:val="4472C4" w:themeColor="accent1"/>
          <w:lang w:eastAsia="it-IT"/>
        </w:rPr>
        <w:t xml:space="preserve"> </w:t>
      </w:r>
      <w:r w:rsidRPr="085B2EC0">
        <w:rPr>
          <w:rFonts w:ascii="Calibri" w:eastAsia="Times New Roman" w:hAnsi="Calibri" w:cs="Arial"/>
          <w:i/>
          <w:iCs/>
          <w:color w:val="4472C4" w:themeColor="accent1"/>
          <w:lang w:eastAsia="it-IT"/>
        </w:rPr>
        <w:t xml:space="preserve">65 del 14/03/2003 e di cui al </w:t>
      </w:r>
      <w:proofErr w:type="spellStart"/>
      <w:r w:rsidRPr="085B2EC0">
        <w:rPr>
          <w:rFonts w:ascii="Calibri" w:eastAsia="Times New Roman" w:hAnsi="Calibri" w:cs="Arial"/>
          <w:i/>
          <w:iCs/>
          <w:color w:val="4472C4" w:themeColor="accent1"/>
          <w:lang w:eastAsia="it-IT"/>
        </w:rPr>
        <w:t>D.Lgs.</w:t>
      </w:r>
      <w:proofErr w:type="spellEnd"/>
      <w:r w:rsidRPr="085B2EC0">
        <w:rPr>
          <w:rFonts w:ascii="Calibri" w:eastAsia="Times New Roman" w:hAnsi="Calibri" w:cs="Arial"/>
          <w:i/>
          <w:iCs/>
          <w:color w:val="4472C4" w:themeColor="accent1"/>
          <w:lang w:eastAsia="it-IT"/>
        </w:rPr>
        <w:t xml:space="preserve"> 21 del 6/2/2009 e art. 45(4) CLP. Una volta avvenuta la registrazione, le aziende potranno inviare i dati e successivamente consultare il database per verificare la correttezza delle informazioni fornite. Potranno essere consultati esclusivamente i dati della ditta stessa.</w:t>
      </w:r>
    </w:p>
    <w:p w14:paraId="347228DB" w14:textId="79DB54F1" w:rsidR="001F2B93" w:rsidRPr="00974971" w:rsidRDefault="007E3ED1" w:rsidP="001F2B93">
      <w:pPr>
        <w:spacing w:before="80" w:after="120" w:line="264" w:lineRule="auto"/>
        <w:jc w:val="both"/>
        <w:rPr>
          <w:rFonts w:ascii="Calibri" w:eastAsia="Times New Roman" w:hAnsi="Calibri" w:cs="Arial"/>
          <w:iCs/>
          <w:color w:val="4472C4" w:themeColor="accent1"/>
          <w:lang w:eastAsia="it-IT"/>
        </w:rPr>
      </w:pPr>
      <w:bookmarkStart w:id="66" w:name="_Hlk58845807"/>
      <w:r w:rsidRPr="00974971">
        <w:rPr>
          <w:rFonts w:ascii="Calibri" w:eastAsia="Calibri" w:hAnsi="Calibri" w:cs="Times New Roman"/>
          <w:i/>
          <w:iCs/>
          <w:color w:val="4472C4" w:themeColor="accent1"/>
        </w:rPr>
        <w:t>Sono sanzionabili secondo il</w:t>
      </w:r>
      <w:r w:rsidRPr="00974971">
        <w:rPr>
          <w:i/>
          <w:iCs/>
          <w:color w:val="4472C4" w:themeColor="accent1"/>
        </w:rPr>
        <w:t xml:space="preserve"> </w:t>
      </w:r>
      <w:proofErr w:type="spellStart"/>
      <w:r w:rsidRPr="00974971">
        <w:rPr>
          <w:i/>
          <w:iCs/>
          <w:color w:val="4472C4" w:themeColor="accent1"/>
        </w:rPr>
        <w:t>d.lgs</w:t>
      </w:r>
      <w:proofErr w:type="spellEnd"/>
      <w:r w:rsidRPr="00974971">
        <w:rPr>
          <w:i/>
          <w:iCs/>
          <w:color w:val="4472C4" w:themeColor="accent1"/>
        </w:rPr>
        <w:t xml:space="preserve"> 186/2011 art 10:</w:t>
      </w:r>
    </w:p>
    <w:bookmarkEnd w:id="66"/>
    <w:p w14:paraId="52CF0C47" w14:textId="00257D09" w:rsidR="007E3ED1" w:rsidRPr="00974971" w:rsidRDefault="007E3ED1" w:rsidP="085B2EC0">
      <w:pPr>
        <w:pStyle w:val="Paragrafoelenco"/>
        <w:numPr>
          <w:ilvl w:val="0"/>
          <w:numId w:val="24"/>
        </w:numPr>
        <w:spacing w:before="80" w:after="120" w:line="264" w:lineRule="auto"/>
        <w:jc w:val="both"/>
        <w:rPr>
          <w:rFonts w:ascii="Calibri" w:eastAsia="Times New Roman" w:hAnsi="Calibri" w:cs="Arial"/>
          <w:i/>
          <w:iCs/>
          <w:color w:val="4472C4" w:themeColor="accent1"/>
          <w:lang w:eastAsia="it-IT"/>
        </w:rPr>
      </w:pPr>
      <w:r w:rsidRPr="085B2EC0">
        <w:rPr>
          <w:i/>
          <w:iCs/>
          <w:color w:val="4472C4" w:themeColor="accent1"/>
        </w:rPr>
        <w:lastRenderedPageBreak/>
        <w:t xml:space="preserve">Art 45 del CLP: mancata dichiarazione all’archivio preparati pericolosi 3.000 - 18.000 € (trasposizione della sanzione di cui all’art. 18.5 del </w:t>
      </w:r>
      <w:proofErr w:type="spellStart"/>
      <w:r w:rsidRPr="085B2EC0">
        <w:rPr>
          <w:i/>
          <w:iCs/>
          <w:color w:val="4472C4" w:themeColor="accent1"/>
        </w:rPr>
        <w:t>d.lgs</w:t>
      </w:r>
      <w:proofErr w:type="spellEnd"/>
      <w:r w:rsidRPr="085B2EC0">
        <w:rPr>
          <w:i/>
          <w:iCs/>
          <w:color w:val="4472C4" w:themeColor="accent1"/>
        </w:rPr>
        <w:t xml:space="preserve"> 65/2003)</w:t>
      </w:r>
      <w:r w:rsidR="43A3BC48" w:rsidRPr="085B2EC0">
        <w:rPr>
          <w:i/>
          <w:iCs/>
          <w:color w:val="4472C4" w:themeColor="accent1"/>
        </w:rPr>
        <w:t>.</w:t>
      </w:r>
    </w:p>
    <w:p w14:paraId="44010984" w14:textId="018CA84A" w:rsidR="007E3ED1" w:rsidRPr="0077688D" w:rsidRDefault="007E3ED1" w:rsidP="001F2B93">
      <w:pPr>
        <w:spacing w:before="80" w:after="120" w:line="264" w:lineRule="auto"/>
        <w:jc w:val="both"/>
        <w:rPr>
          <w:rFonts w:ascii="Calibri" w:eastAsia="Times New Roman" w:hAnsi="Calibri" w:cs="Times New Roman"/>
          <w:b/>
          <w:iCs/>
          <w:snapToGrid w:val="0"/>
          <w:sz w:val="24"/>
          <w:szCs w:val="20"/>
          <w:lang w:eastAsia="it-IT"/>
        </w:rPr>
      </w:pPr>
    </w:p>
    <w:p w14:paraId="1A9629BC" w14:textId="26C932AE" w:rsidR="001F2B93" w:rsidRPr="0077688D" w:rsidRDefault="00AA1F1F"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67" w:name="_Toc126664600"/>
      <w:bookmarkStart w:id="68" w:name="_Hlk55995469"/>
      <w:r>
        <w:rPr>
          <w:rFonts w:ascii="Calibri" w:eastAsia="Times New Roman" w:hAnsi="Calibri" w:cs="Times New Roman"/>
          <w:b/>
          <w:iCs/>
          <w:snapToGrid w:val="0"/>
          <w:sz w:val="24"/>
          <w:szCs w:val="20"/>
          <w:lang w:eastAsia="it-IT"/>
        </w:rPr>
        <w:t>26</w:t>
      </w:r>
      <w:r w:rsidR="001F2B93" w:rsidRPr="0077688D">
        <w:rPr>
          <w:rFonts w:ascii="Calibri" w:eastAsia="Times New Roman" w:hAnsi="Calibri" w:cs="Times New Roman"/>
          <w:b/>
          <w:iCs/>
          <w:snapToGrid w:val="0"/>
          <w:sz w:val="24"/>
          <w:szCs w:val="20"/>
          <w:lang w:eastAsia="it-IT"/>
        </w:rPr>
        <w:t>- Notifica al database EU Centro Antiveleni PCN (Poison Center Notification)</w:t>
      </w:r>
      <w:bookmarkEnd w:id="67"/>
    </w:p>
    <w:p w14:paraId="0DCBD26A" w14:textId="06812387" w:rsidR="001F2B93" w:rsidRDefault="001F2B93" w:rsidP="001F2B93">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Riferimenti:</w:t>
      </w:r>
      <w:r w:rsidRPr="001F2B93">
        <w:rPr>
          <w:rFonts w:ascii="Calibri" w:eastAsia="Times New Roman" w:hAnsi="Calibri" w:cs="Times New Roman"/>
          <w:i/>
          <w:szCs w:val="20"/>
          <w:lang w:eastAsia="it-IT"/>
        </w:rPr>
        <w:t xml:space="preserve"> </w:t>
      </w:r>
      <w:r w:rsidRPr="001F2B93">
        <w:rPr>
          <w:rFonts w:ascii="Calibri" w:eastAsia="Times New Roman" w:hAnsi="Calibri" w:cs="Arial"/>
          <w:i/>
          <w:lang w:eastAsia="it-IT"/>
        </w:rPr>
        <w:t xml:space="preserve">art.45 </w:t>
      </w:r>
      <w:proofErr w:type="spellStart"/>
      <w:r w:rsidRPr="001F2B93">
        <w:rPr>
          <w:rFonts w:ascii="Calibri" w:eastAsia="Times New Roman" w:hAnsi="Calibri" w:cs="Arial"/>
          <w:i/>
          <w:lang w:eastAsia="it-IT"/>
        </w:rPr>
        <w:t>All</w:t>
      </w:r>
      <w:proofErr w:type="spellEnd"/>
      <w:r w:rsidR="00E64791">
        <w:rPr>
          <w:rFonts w:ascii="Calibri" w:eastAsia="Times New Roman" w:hAnsi="Calibri" w:cs="Arial"/>
          <w:i/>
          <w:lang w:eastAsia="it-IT"/>
        </w:rPr>
        <w:t>.</w:t>
      </w:r>
      <w:r w:rsidRPr="001F2B93">
        <w:rPr>
          <w:rFonts w:ascii="Calibri" w:eastAsia="Times New Roman" w:hAnsi="Calibri" w:cs="Arial"/>
          <w:i/>
          <w:lang w:eastAsia="it-IT"/>
        </w:rPr>
        <w:t xml:space="preserve"> VIII </w:t>
      </w:r>
      <w:r w:rsidR="00E64791">
        <w:rPr>
          <w:rFonts w:ascii="Calibri" w:eastAsia="Times New Roman" w:hAnsi="Calibri" w:cs="Arial"/>
          <w:i/>
          <w:lang w:eastAsia="it-IT"/>
        </w:rPr>
        <w:t xml:space="preserve">Regolamento </w:t>
      </w:r>
      <w:r w:rsidRPr="001F2B93">
        <w:rPr>
          <w:rFonts w:ascii="Calibri" w:eastAsia="Times New Roman" w:hAnsi="Calibri" w:cs="Arial"/>
          <w:i/>
          <w:lang w:eastAsia="it-IT"/>
        </w:rPr>
        <w:t>CLP</w:t>
      </w:r>
    </w:p>
    <w:p w14:paraId="233CAC90" w14:textId="69B4E4D4" w:rsidR="00E64791" w:rsidRPr="001F2B93" w:rsidRDefault="00E64791" w:rsidP="001F2B93">
      <w:pPr>
        <w:spacing w:before="80" w:after="120" w:line="264" w:lineRule="auto"/>
        <w:jc w:val="both"/>
        <w:rPr>
          <w:rFonts w:ascii="Calibri" w:eastAsia="Times New Roman" w:hAnsi="Calibri" w:cs="Arial"/>
          <w:i/>
          <w:lang w:eastAsia="it-IT"/>
        </w:rPr>
      </w:pPr>
      <w:hyperlink r:id="rId18" w:history="1">
        <w:r w:rsidRPr="007C42BB">
          <w:rPr>
            <w:rStyle w:val="Collegamentoipertestuale"/>
          </w:rPr>
          <w:t>https://poisoncentres.echa.europa.eu/it/echa-submission-portal</w:t>
        </w:r>
      </w:hyperlink>
    </w:p>
    <w:p w14:paraId="5F53DA10" w14:textId="620D4355" w:rsidR="001F2B93" w:rsidRDefault="001F2B93" w:rsidP="001F2B93">
      <w:pPr>
        <w:spacing w:before="80" w:after="120" w:line="264" w:lineRule="auto"/>
        <w:jc w:val="both"/>
        <w:rPr>
          <w:rFonts w:ascii="Calibri" w:eastAsia="Times New Roman" w:hAnsi="Calibri" w:cs="Times New Roman"/>
          <w:i/>
          <w:iCs/>
          <w:szCs w:val="20"/>
          <w:lang w:eastAsia="it-IT"/>
        </w:rPr>
      </w:pPr>
      <w:r w:rsidRPr="001F2B93">
        <w:rPr>
          <w:rFonts w:ascii="Calibri" w:eastAsia="Times New Roman" w:hAnsi="Calibri" w:cs="Arial"/>
          <w:iCs/>
          <w:lang w:eastAsia="it-IT"/>
        </w:rPr>
        <w:t>Linee guida:</w:t>
      </w:r>
      <w:r w:rsidRPr="001F2B93">
        <w:rPr>
          <w:rFonts w:ascii="Calibri" w:eastAsia="Times New Roman" w:hAnsi="Calibri" w:cs="Times New Roman"/>
          <w:szCs w:val="20"/>
          <w:lang w:eastAsia="it-IT"/>
        </w:rPr>
        <w:t xml:space="preserve"> </w:t>
      </w:r>
      <w:r w:rsidRPr="001F2B93">
        <w:rPr>
          <w:rFonts w:ascii="Calibri" w:eastAsia="Times New Roman" w:hAnsi="Calibri" w:cs="Times New Roman"/>
          <w:i/>
          <w:iCs/>
          <w:szCs w:val="20"/>
          <w:lang w:eastAsia="it-IT"/>
        </w:rPr>
        <w:t xml:space="preserve">Orientamenti sulle informazioni armonizzate relative alla risposta di emergenza sanitaria – Allegato VIII del regolamento CLP versione 3 </w:t>
      </w:r>
      <w:proofErr w:type="gramStart"/>
      <w:r w:rsidRPr="001F2B93">
        <w:rPr>
          <w:rFonts w:ascii="Calibri" w:eastAsia="Times New Roman" w:hAnsi="Calibri" w:cs="Times New Roman"/>
          <w:i/>
          <w:iCs/>
          <w:szCs w:val="20"/>
          <w:lang w:eastAsia="it-IT"/>
        </w:rPr>
        <w:t>Maggio</w:t>
      </w:r>
      <w:proofErr w:type="gramEnd"/>
      <w:r w:rsidRPr="001F2B93">
        <w:rPr>
          <w:rFonts w:ascii="Calibri" w:eastAsia="Times New Roman" w:hAnsi="Calibri" w:cs="Times New Roman"/>
          <w:i/>
          <w:iCs/>
          <w:szCs w:val="20"/>
          <w:lang w:eastAsia="it-IT"/>
        </w:rPr>
        <w:t xml:space="preserve"> 2020</w:t>
      </w:r>
    </w:p>
    <w:p w14:paraId="31DD11E9" w14:textId="03ED1A1F" w:rsidR="00515ACC" w:rsidRPr="00974971" w:rsidRDefault="00E31FDD" w:rsidP="001F2B93">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Ai sensi dell'articolo 45 del regolamento CLP, le società che immettono sul mercato miscele pericolose sono obbligate a fornire informazioni su determinate miscele pericolose agli organismi nazionali competenti. Gli organismi nazionali mettono queste informazioni a disposizione dei centri antiveleni in modo che possano dare consigli ai cittadini o al personale medico in caso di emergenza. L'allegato VIII del regolamento CLP, adottato nel marzo 2017, definisce i requisiti armonizzati per le notifiche dei centri antiveleno (PCN) applicabili dal 1 ° gennaio 2021.</w:t>
      </w:r>
    </w:p>
    <w:p w14:paraId="1C55C860" w14:textId="77777777" w:rsidR="001F2B93" w:rsidRPr="00974971" w:rsidRDefault="001F2B93" w:rsidP="001F2B93">
      <w:pPr>
        <w:spacing w:before="80" w:after="120" w:line="264" w:lineRule="auto"/>
        <w:jc w:val="both"/>
        <w:rPr>
          <w:rFonts w:ascii="Calibri" w:eastAsia="Times New Roman" w:hAnsi="Calibri" w:cs="Arial"/>
          <w:i/>
          <w:color w:val="4472C4" w:themeColor="accent1"/>
          <w:lang w:eastAsia="it-IT"/>
        </w:rPr>
      </w:pPr>
      <w:bookmarkStart w:id="69" w:name="_Hlk55995494"/>
      <w:bookmarkEnd w:id="68"/>
      <w:r w:rsidRPr="00974971">
        <w:rPr>
          <w:rFonts w:ascii="Calibri" w:eastAsia="Times New Roman" w:hAnsi="Calibri" w:cs="Arial"/>
          <w:i/>
          <w:color w:val="4472C4" w:themeColor="accent1"/>
          <w:lang w:eastAsia="it-IT"/>
        </w:rPr>
        <w:t xml:space="preserve">Le informazioni sono previste </w:t>
      </w:r>
      <w:proofErr w:type="spellStart"/>
      <w:r w:rsidRPr="00974971">
        <w:rPr>
          <w:rFonts w:ascii="Calibri" w:eastAsia="Times New Roman" w:hAnsi="Calibri" w:cs="Arial"/>
          <w:i/>
          <w:color w:val="4472C4" w:themeColor="accent1"/>
          <w:lang w:eastAsia="it-IT"/>
        </w:rPr>
        <w:t>Annex</w:t>
      </w:r>
      <w:proofErr w:type="spellEnd"/>
      <w:r w:rsidRPr="00974971">
        <w:rPr>
          <w:rFonts w:ascii="Calibri" w:eastAsia="Times New Roman" w:hAnsi="Calibri" w:cs="Arial"/>
          <w:i/>
          <w:color w:val="4472C4" w:themeColor="accent1"/>
          <w:lang w:eastAsia="it-IT"/>
        </w:rPr>
        <w:t xml:space="preserve"> VIII CLP con le seguenti scadenze:</w:t>
      </w:r>
    </w:p>
    <w:p w14:paraId="21F4BB81" w14:textId="77777777" w:rsidR="001F2B93" w:rsidRPr="00974971" w:rsidRDefault="001F2B93" w:rsidP="001F2B93">
      <w:pPr>
        <w:numPr>
          <w:ilvl w:val="0"/>
          <w:numId w:val="8"/>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 xml:space="preserve">1° gennaio 2021: per prodotti destinati al dettaglio; </w:t>
      </w:r>
    </w:p>
    <w:p w14:paraId="44CA1948" w14:textId="77777777" w:rsidR="001F2B93" w:rsidRPr="00974971" w:rsidRDefault="001F2B93" w:rsidP="001F2B93">
      <w:pPr>
        <w:numPr>
          <w:ilvl w:val="0"/>
          <w:numId w:val="8"/>
        </w:num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 xml:space="preserve">1° gennaio 2021: per prodotti destinati all'uso professionale; </w:t>
      </w:r>
    </w:p>
    <w:p w14:paraId="1838BBB2" w14:textId="0A44C7D3" w:rsidR="001F2B93" w:rsidRPr="00974971" w:rsidRDefault="001F2B93" w:rsidP="085B2EC0">
      <w:pPr>
        <w:numPr>
          <w:ilvl w:val="0"/>
          <w:numId w:val="8"/>
        </w:num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1° gennaio 2024: per prodotti destinati all'uso industriale Quelle vecchie entro il 1° gennaio 2025</w:t>
      </w:r>
      <w:r w:rsidR="787D9C3C" w:rsidRPr="085B2EC0">
        <w:rPr>
          <w:rFonts w:ascii="Calibri" w:eastAsia="Times New Roman" w:hAnsi="Calibri" w:cs="Arial"/>
          <w:i/>
          <w:iCs/>
          <w:color w:val="4472C4" w:themeColor="accent1"/>
          <w:lang w:eastAsia="it-IT"/>
        </w:rPr>
        <w:t>.</w:t>
      </w:r>
    </w:p>
    <w:bookmarkEnd w:id="69"/>
    <w:p w14:paraId="3E19F427" w14:textId="77777777" w:rsidR="001F2B93" w:rsidRPr="001F2B93" w:rsidRDefault="001F2B93" w:rsidP="001F2B93">
      <w:pPr>
        <w:spacing w:before="80" w:after="120" w:line="264" w:lineRule="auto"/>
        <w:jc w:val="both"/>
        <w:rPr>
          <w:rFonts w:ascii="Calibri" w:eastAsia="Times New Roman" w:hAnsi="Calibri" w:cs="Arial"/>
          <w:iCs/>
          <w:color w:val="FF0000"/>
          <w:lang w:eastAsia="it-IT"/>
        </w:rPr>
      </w:pPr>
    </w:p>
    <w:p w14:paraId="04B857E2" w14:textId="30AB5EB2" w:rsidR="001F2B93" w:rsidRPr="0077688D" w:rsidRDefault="00AA1F1F"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70" w:name="_Toc126664601"/>
      <w:bookmarkStart w:id="71" w:name="_Hlk55995511"/>
      <w:r>
        <w:rPr>
          <w:rFonts w:ascii="Calibri" w:eastAsia="Times New Roman" w:hAnsi="Calibri" w:cs="Times New Roman"/>
          <w:b/>
          <w:iCs/>
          <w:snapToGrid w:val="0"/>
          <w:sz w:val="24"/>
          <w:szCs w:val="20"/>
          <w:lang w:eastAsia="it-IT"/>
        </w:rPr>
        <w:t>27</w:t>
      </w:r>
      <w:r w:rsidR="001F2B93" w:rsidRPr="0077688D">
        <w:rPr>
          <w:rFonts w:ascii="Calibri" w:eastAsia="Times New Roman" w:hAnsi="Calibri" w:cs="Times New Roman"/>
          <w:b/>
          <w:iCs/>
          <w:snapToGrid w:val="0"/>
          <w:sz w:val="24"/>
          <w:szCs w:val="20"/>
          <w:lang w:eastAsia="it-IT"/>
        </w:rPr>
        <w:t>- UFI (</w:t>
      </w:r>
      <w:proofErr w:type="spellStart"/>
      <w:r w:rsidR="001F2B93" w:rsidRPr="0077688D">
        <w:rPr>
          <w:rFonts w:ascii="Calibri" w:eastAsia="Times New Roman" w:hAnsi="Calibri" w:cs="Times New Roman"/>
          <w:b/>
          <w:iCs/>
          <w:snapToGrid w:val="0"/>
          <w:sz w:val="24"/>
          <w:szCs w:val="20"/>
          <w:lang w:eastAsia="it-IT"/>
        </w:rPr>
        <w:t>Unique</w:t>
      </w:r>
      <w:proofErr w:type="spellEnd"/>
      <w:r w:rsidR="001F2B93" w:rsidRPr="0077688D">
        <w:rPr>
          <w:rFonts w:ascii="Calibri" w:eastAsia="Times New Roman" w:hAnsi="Calibri" w:cs="Times New Roman"/>
          <w:b/>
          <w:iCs/>
          <w:snapToGrid w:val="0"/>
          <w:sz w:val="24"/>
          <w:szCs w:val="20"/>
          <w:lang w:eastAsia="it-IT"/>
        </w:rPr>
        <w:t xml:space="preserve"> Formula </w:t>
      </w:r>
      <w:proofErr w:type="spellStart"/>
      <w:r w:rsidR="001F2B93" w:rsidRPr="0077688D">
        <w:rPr>
          <w:rFonts w:ascii="Calibri" w:eastAsia="Times New Roman" w:hAnsi="Calibri" w:cs="Times New Roman"/>
          <w:b/>
          <w:iCs/>
          <w:snapToGrid w:val="0"/>
          <w:sz w:val="24"/>
          <w:szCs w:val="20"/>
          <w:lang w:eastAsia="it-IT"/>
        </w:rPr>
        <w:t>Identifier</w:t>
      </w:r>
      <w:proofErr w:type="spellEnd"/>
      <w:r w:rsidR="001F2B93" w:rsidRPr="0077688D">
        <w:rPr>
          <w:rFonts w:ascii="Calibri" w:eastAsia="Times New Roman" w:hAnsi="Calibri" w:cs="Times New Roman"/>
          <w:b/>
          <w:iCs/>
          <w:snapToGrid w:val="0"/>
          <w:sz w:val="24"/>
          <w:szCs w:val="20"/>
          <w:lang w:eastAsia="it-IT"/>
        </w:rPr>
        <w:t>)</w:t>
      </w:r>
      <w:bookmarkEnd w:id="70"/>
    </w:p>
    <w:p w14:paraId="2F10392B" w14:textId="63540057" w:rsidR="001F2B93" w:rsidRDefault="001F2B93" w:rsidP="001F2B93">
      <w:pPr>
        <w:spacing w:before="80" w:after="120" w:line="264" w:lineRule="auto"/>
        <w:jc w:val="both"/>
        <w:rPr>
          <w:rFonts w:ascii="Calibri" w:eastAsia="Times New Roman" w:hAnsi="Calibri" w:cs="Arial"/>
          <w:i/>
          <w:lang w:eastAsia="it-IT"/>
        </w:rPr>
      </w:pPr>
      <w:r w:rsidRPr="001F2B93">
        <w:rPr>
          <w:rFonts w:ascii="Calibri" w:eastAsia="Times New Roman" w:hAnsi="Calibri" w:cs="Arial"/>
          <w:i/>
          <w:lang w:eastAsia="it-IT"/>
        </w:rPr>
        <w:t>Riferimenti:</w:t>
      </w:r>
      <w:r w:rsidRPr="001F2B93">
        <w:rPr>
          <w:rFonts w:ascii="Calibri" w:eastAsia="Times New Roman" w:hAnsi="Calibri" w:cs="Times New Roman"/>
          <w:i/>
          <w:szCs w:val="20"/>
          <w:lang w:eastAsia="it-IT"/>
        </w:rPr>
        <w:t xml:space="preserve"> </w:t>
      </w:r>
      <w:r w:rsidRPr="001F2B93">
        <w:rPr>
          <w:rFonts w:ascii="Calibri" w:eastAsia="Times New Roman" w:hAnsi="Calibri" w:cs="Arial"/>
          <w:i/>
          <w:lang w:eastAsia="it-IT"/>
        </w:rPr>
        <w:t xml:space="preserve">art.45 </w:t>
      </w:r>
      <w:proofErr w:type="spellStart"/>
      <w:r w:rsidRPr="001F2B93">
        <w:rPr>
          <w:rFonts w:ascii="Calibri" w:eastAsia="Times New Roman" w:hAnsi="Calibri" w:cs="Arial"/>
          <w:i/>
          <w:lang w:eastAsia="it-IT"/>
        </w:rPr>
        <w:t>All</w:t>
      </w:r>
      <w:proofErr w:type="spellEnd"/>
      <w:r w:rsidR="00E64791">
        <w:rPr>
          <w:rFonts w:ascii="Calibri" w:eastAsia="Times New Roman" w:hAnsi="Calibri" w:cs="Arial"/>
          <w:i/>
          <w:lang w:eastAsia="it-IT"/>
        </w:rPr>
        <w:t>.</w:t>
      </w:r>
      <w:r w:rsidRPr="001F2B93">
        <w:rPr>
          <w:rFonts w:ascii="Calibri" w:eastAsia="Times New Roman" w:hAnsi="Calibri" w:cs="Arial"/>
          <w:i/>
          <w:lang w:eastAsia="it-IT"/>
        </w:rPr>
        <w:t xml:space="preserve"> VIII</w:t>
      </w:r>
      <w:r w:rsidR="00E64791">
        <w:rPr>
          <w:rFonts w:ascii="Calibri" w:eastAsia="Times New Roman" w:hAnsi="Calibri" w:cs="Arial"/>
          <w:i/>
          <w:lang w:eastAsia="it-IT"/>
        </w:rPr>
        <w:t xml:space="preserve"> Regolamento </w:t>
      </w:r>
      <w:r w:rsidRPr="001F2B93">
        <w:rPr>
          <w:rFonts w:ascii="Calibri" w:eastAsia="Times New Roman" w:hAnsi="Calibri" w:cs="Arial"/>
          <w:i/>
          <w:lang w:eastAsia="it-IT"/>
        </w:rPr>
        <w:t>CLP</w:t>
      </w:r>
    </w:p>
    <w:p w14:paraId="289DFEB8" w14:textId="5041AF03" w:rsidR="00E64791" w:rsidRPr="001F2B93" w:rsidRDefault="00E64791" w:rsidP="001F2B93">
      <w:pPr>
        <w:spacing w:before="80" w:after="120" w:line="264" w:lineRule="auto"/>
        <w:jc w:val="both"/>
        <w:rPr>
          <w:rFonts w:ascii="Calibri" w:eastAsia="Times New Roman" w:hAnsi="Calibri" w:cs="Arial"/>
          <w:i/>
          <w:lang w:eastAsia="it-IT"/>
        </w:rPr>
      </w:pPr>
      <w:hyperlink r:id="rId19" w:history="1">
        <w:r w:rsidRPr="006B1616">
          <w:rPr>
            <w:rStyle w:val="Collegamentoipertestuale"/>
          </w:rPr>
          <w:t>https://poisoncentres.echa.europa.eu/it/ufi-generator</w:t>
        </w:r>
      </w:hyperlink>
    </w:p>
    <w:p w14:paraId="1C6DE5B7" w14:textId="5D4CB18D" w:rsidR="001F2B93" w:rsidRDefault="001F2B93" w:rsidP="001F2B93">
      <w:pPr>
        <w:spacing w:before="80" w:after="120" w:line="264" w:lineRule="auto"/>
        <w:jc w:val="both"/>
        <w:rPr>
          <w:rFonts w:ascii="Calibri" w:eastAsia="Times New Roman" w:hAnsi="Calibri" w:cs="Times New Roman"/>
          <w:i/>
          <w:iCs/>
          <w:szCs w:val="20"/>
          <w:lang w:eastAsia="it-IT"/>
        </w:rPr>
      </w:pPr>
      <w:r w:rsidRPr="001F2B93">
        <w:rPr>
          <w:rFonts w:ascii="Calibri" w:eastAsia="Times New Roman" w:hAnsi="Calibri" w:cs="Arial"/>
          <w:iCs/>
          <w:lang w:eastAsia="it-IT"/>
        </w:rPr>
        <w:t>Linee guida:</w:t>
      </w:r>
      <w:r w:rsidRPr="001F2B93">
        <w:rPr>
          <w:rFonts w:ascii="Calibri" w:eastAsia="Times New Roman" w:hAnsi="Calibri" w:cs="Times New Roman"/>
          <w:szCs w:val="20"/>
          <w:lang w:eastAsia="it-IT"/>
        </w:rPr>
        <w:t xml:space="preserve"> </w:t>
      </w:r>
      <w:r w:rsidRPr="001F2B93">
        <w:rPr>
          <w:rFonts w:ascii="Calibri" w:eastAsia="Times New Roman" w:hAnsi="Calibri" w:cs="Times New Roman"/>
          <w:i/>
          <w:iCs/>
          <w:szCs w:val="20"/>
          <w:lang w:eastAsia="it-IT"/>
        </w:rPr>
        <w:t xml:space="preserve">Orientamenti sulle informazioni armonizzate relative alla risposta di emergenza sanitaria – Allegato VIII del regolamento CLP versione 3 </w:t>
      </w:r>
      <w:proofErr w:type="gramStart"/>
      <w:r w:rsidRPr="001F2B93">
        <w:rPr>
          <w:rFonts w:ascii="Calibri" w:eastAsia="Times New Roman" w:hAnsi="Calibri" w:cs="Times New Roman"/>
          <w:i/>
          <w:iCs/>
          <w:szCs w:val="20"/>
          <w:lang w:eastAsia="it-IT"/>
        </w:rPr>
        <w:t>Maggio</w:t>
      </w:r>
      <w:proofErr w:type="gramEnd"/>
      <w:r w:rsidRPr="001F2B93">
        <w:rPr>
          <w:rFonts w:ascii="Calibri" w:eastAsia="Times New Roman" w:hAnsi="Calibri" w:cs="Times New Roman"/>
          <w:i/>
          <w:iCs/>
          <w:szCs w:val="20"/>
          <w:lang w:eastAsia="it-IT"/>
        </w:rPr>
        <w:t xml:space="preserve"> 2020</w:t>
      </w:r>
    </w:p>
    <w:p w14:paraId="2783572F" w14:textId="216DB832" w:rsidR="004B7B53" w:rsidRPr="00974971" w:rsidRDefault="004B7B53" w:rsidP="001F2B93">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Per fornire sostegno all’industria e agli organismi designati degli Stati membri, l’ECHA ha ideato strumenti informatici per favorire la preparazione, la trasmissione e la ricezione di informazioni sulle miscele pericolose. Tra gli strumenti a disposizione figurano il generatore di UFI, il formato di notifica (PCN) e il sistema europeo di categorizzazione dei prodotti (</w:t>
      </w:r>
      <w:proofErr w:type="spellStart"/>
      <w:r w:rsidRPr="00974971">
        <w:rPr>
          <w:rFonts w:ascii="Calibri" w:eastAsia="Times New Roman" w:hAnsi="Calibri" w:cs="Arial"/>
          <w:i/>
          <w:color w:val="4472C4" w:themeColor="accent1"/>
          <w:lang w:eastAsia="it-IT"/>
        </w:rPr>
        <w:t>EuPCS</w:t>
      </w:r>
      <w:proofErr w:type="spellEnd"/>
      <w:r w:rsidRPr="00974971">
        <w:rPr>
          <w:rFonts w:ascii="Calibri" w:eastAsia="Times New Roman" w:hAnsi="Calibri" w:cs="Arial"/>
          <w:i/>
          <w:color w:val="4472C4" w:themeColor="accent1"/>
          <w:lang w:eastAsia="it-IT"/>
        </w:rPr>
        <w:t>). In aggiunta, il portale per la notifica dell’ECHA per l’industria consente la preparazione e la trasmissione online delle informazioni. Le autorità possono consultare le notifiche connettendosi al portale di accesso remoto dell’ECHA</w:t>
      </w:r>
    </w:p>
    <w:bookmarkEnd w:id="71"/>
    <w:p w14:paraId="6698ADDE" w14:textId="11B58AFC" w:rsidR="003C5954" w:rsidRPr="00974971" w:rsidRDefault="004B7B53" w:rsidP="001F2B93">
      <w:pPr>
        <w:spacing w:before="80" w:after="120" w:line="264" w:lineRule="auto"/>
        <w:jc w:val="both"/>
        <w:rPr>
          <w:rFonts w:ascii="Calibri" w:eastAsia="Times New Roman" w:hAnsi="Calibri" w:cs="Arial"/>
          <w:i/>
          <w:color w:val="4472C4" w:themeColor="accent1"/>
          <w:lang w:eastAsia="it-IT"/>
        </w:rPr>
      </w:pPr>
      <w:r w:rsidRPr="00974971">
        <w:rPr>
          <w:rFonts w:ascii="Calibri" w:eastAsia="Times New Roman" w:hAnsi="Calibri" w:cs="Arial"/>
          <w:i/>
          <w:color w:val="4472C4" w:themeColor="accent1"/>
          <w:lang w:eastAsia="it-IT"/>
        </w:rPr>
        <w:t>La generazione di un identificatore di formula univoco (UFI) e la stampa o l'apposizione di esso sull'etichetta del prodotto è un obbligo del settore. Per creare un UFI, avrai bisogno del numero di partita IVA della tua azienda (o della chiave dell'azienda in casi specifici) e di un numero di formulazione specifico della miscela. Inserendo queste informazioni nell'UFI Generator, verrà generato il codice UFI univoco.</w:t>
      </w:r>
    </w:p>
    <w:p w14:paraId="0547EBF0" w14:textId="70C6AD9C" w:rsidR="002C46E7" w:rsidRDefault="002C46E7" w:rsidP="001F2B93">
      <w:pPr>
        <w:spacing w:before="80" w:after="120" w:line="264" w:lineRule="auto"/>
        <w:jc w:val="both"/>
        <w:rPr>
          <w:rFonts w:ascii="Calibri" w:eastAsia="Times New Roman" w:hAnsi="Calibri" w:cs="Arial"/>
          <w:iCs/>
          <w:lang w:eastAsia="it-IT"/>
        </w:rPr>
      </w:pPr>
    </w:p>
    <w:p w14:paraId="10FF3B00" w14:textId="2A873642" w:rsidR="00B2479F" w:rsidRPr="0077688D" w:rsidRDefault="00B2479F" w:rsidP="00A25AB5">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72" w:name="_Toc126664602"/>
      <w:r w:rsidRPr="0077688D">
        <w:rPr>
          <w:rFonts w:ascii="Calibri" w:eastAsia="Times New Roman" w:hAnsi="Calibri" w:cs="Times New Roman"/>
          <w:b/>
          <w:iCs/>
          <w:snapToGrid w:val="0"/>
          <w:sz w:val="24"/>
          <w:szCs w:val="20"/>
          <w:lang w:eastAsia="it-IT"/>
        </w:rPr>
        <w:t>OBBLIGO DELLA CONSERVAZIONE DELLE INFORMAZIONI</w:t>
      </w:r>
      <w:bookmarkEnd w:id="72"/>
    </w:p>
    <w:p w14:paraId="335393A3" w14:textId="77777777" w:rsidR="001D654C" w:rsidRDefault="001D654C" w:rsidP="001F2B93">
      <w:pPr>
        <w:spacing w:before="80" w:after="120" w:line="264" w:lineRule="auto"/>
        <w:jc w:val="both"/>
        <w:rPr>
          <w:rFonts w:ascii="Calibri" w:eastAsia="Times New Roman" w:hAnsi="Calibri" w:cs="Arial"/>
          <w:b/>
          <w:bCs/>
          <w:iCs/>
          <w:lang w:eastAsia="it-IT"/>
        </w:rPr>
      </w:pPr>
      <w:bookmarkStart w:id="73" w:name="_Hlk68703131"/>
    </w:p>
    <w:p w14:paraId="3C625C8E" w14:textId="03545EF0" w:rsidR="001F2B93" w:rsidRPr="002851FE" w:rsidRDefault="00AA1F1F"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74" w:name="_Toc126664603"/>
      <w:r>
        <w:rPr>
          <w:rFonts w:ascii="Calibri" w:eastAsia="Times New Roman" w:hAnsi="Calibri" w:cs="Times New Roman"/>
          <w:b/>
          <w:iCs/>
          <w:snapToGrid w:val="0"/>
          <w:sz w:val="24"/>
          <w:szCs w:val="20"/>
          <w:lang w:eastAsia="it-IT"/>
        </w:rPr>
        <w:t>28</w:t>
      </w:r>
      <w:r w:rsidR="001F2B93" w:rsidRPr="002851FE">
        <w:rPr>
          <w:rFonts w:ascii="Calibri" w:eastAsia="Times New Roman" w:hAnsi="Calibri" w:cs="Times New Roman"/>
          <w:b/>
          <w:iCs/>
          <w:snapToGrid w:val="0"/>
          <w:sz w:val="24"/>
          <w:szCs w:val="20"/>
          <w:lang w:eastAsia="it-IT"/>
        </w:rPr>
        <w:t>- Obbligo di conservare le informazioni e richieste di informazioni</w:t>
      </w:r>
      <w:bookmarkEnd w:id="74"/>
    </w:p>
    <w:bookmarkEnd w:id="73"/>
    <w:p w14:paraId="24859585" w14:textId="5A837EF1" w:rsidR="001F2B93" w:rsidRPr="00BC2731" w:rsidRDefault="001F2B93" w:rsidP="001F2B93">
      <w:pPr>
        <w:spacing w:before="80" w:after="120" w:line="264" w:lineRule="auto"/>
        <w:jc w:val="both"/>
        <w:rPr>
          <w:rFonts w:ascii="Calibri" w:eastAsia="Times New Roman" w:hAnsi="Calibri" w:cs="Arial"/>
          <w:i/>
          <w:lang w:eastAsia="it-IT"/>
        </w:rPr>
      </w:pPr>
      <w:r w:rsidRPr="00BC2731">
        <w:rPr>
          <w:rFonts w:ascii="Calibri" w:eastAsia="Times New Roman" w:hAnsi="Calibri" w:cs="Arial"/>
          <w:i/>
          <w:lang w:eastAsia="it-IT"/>
        </w:rPr>
        <w:t>Riferimenti: art.</w:t>
      </w:r>
      <w:r w:rsidR="00BC2731" w:rsidRPr="00BC2731">
        <w:rPr>
          <w:rFonts w:ascii="Calibri" w:eastAsia="Times New Roman" w:hAnsi="Calibri" w:cs="Arial"/>
          <w:i/>
          <w:lang w:eastAsia="it-IT"/>
        </w:rPr>
        <w:t>36 Regolamento REACH</w:t>
      </w:r>
    </w:p>
    <w:p w14:paraId="7594B121" w14:textId="77ABFA5F" w:rsidR="00BC2731" w:rsidRPr="00CF0E1A" w:rsidRDefault="00BC2731"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lastRenderedPageBreak/>
        <w:t>Devono essere conservate le informazioni necessarie per assolvere agli obblighi che impone il REACH per 10 anni (stesso obbligo per chi assume la responsabilità della liquidazione della società o dell’immissione sul mercato) 3.000 - 18.000</w:t>
      </w:r>
      <w:r w:rsidR="4D048EFE" w:rsidRPr="085B2EC0">
        <w:rPr>
          <w:rFonts w:ascii="Calibri" w:eastAsia="Times New Roman" w:hAnsi="Calibri" w:cs="Arial"/>
          <w:i/>
          <w:iCs/>
          <w:color w:val="4472C4" w:themeColor="accent1"/>
          <w:lang w:eastAsia="it-IT"/>
        </w:rPr>
        <w:t xml:space="preserve"> €;</w:t>
      </w:r>
    </w:p>
    <w:p w14:paraId="3E141024" w14:textId="34BEA0BB" w:rsidR="00AD07C9" w:rsidRPr="00CF0E1A" w:rsidRDefault="00AD07C9"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Sanzioni </w:t>
      </w:r>
      <w:r w:rsidR="00AB13CE" w:rsidRPr="085B2EC0">
        <w:rPr>
          <w:rFonts w:ascii="Calibri" w:eastAsia="Times New Roman" w:hAnsi="Calibri" w:cs="Arial"/>
          <w:i/>
          <w:iCs/>
          <w:color w:val="4472C4" w:themeColor="accent1"/>
          <w:lang w:eastAsia="it-IT"/>
        </w:rPr>
        <w:t xml:space="preserve">previste dal </w:t>
      </w:r>
      <w:proofErr w:type="spellStart"/>
      <w:r w:rsidR="00BC2731" w:rsidRPr="085B2EC0">
        <w:rPr>
          <w:rFonts w:ascii="Calibri" w:eastAsia="Times New Roman" w:hAnsi="Calibri" w:cs="Arial"/>
          <w:i/>
          <w:iCs/>
          <w:color w:val="4472C4" w:themeColor="accent1"/>
          <w:lang w:eastAsia="it-IT"/>
        </w:rPr>
        <w:t>d</w:t>
      </w:r>
      <w:r w:rsidR="00AB13CE" w:rsidRPr="085B2EC0">
        <w:rPr>
          <w:rFonts w:ascii="Calibri" w:eastAsia="Times New Roman" w:hAnsi="Calibri" w:cs="Arial"/>
          <w:i/>
          <w:iCs/>
          <w:color w:val="4472C4" w:themeColor="accent1"/>
          <w:lang w:eastAsia="it-IT"/>
        </w:rPr>
        <w:t>.lgs</w:t>
      </w:r>
      <w:proofErr w:type="spellEnd"/>
      <w:r w:rsidR="00AB13CE" w:rsidRPr="085B2EC0">
        <w:rPr>
          <w:rFonts w:ascii="Calibri" w:eastAsia="Times New Roman" w:hAnsi="Calibri" w:cs="Arial"/>
          <w:i/>
          <w:iCs/>
          <w:color w:val="4472C4" w:themeColor="accent1"/>
          <w:lang w:eastAsia="it-IT"/>
        </w:rPr>
        <w:t xml:space="preserve"> 133/2009 art.10</w:t>
      </w:r>
      <w:r w:rsidR="6D5FDC96" w:rsidRPr="085B2EC0">
        <w:rPr>
          <w:rFonts w:ascii="Calibri" w:eastAsia="Times New Roman" w:hAnsi="Calibri" w:cs="Arial"/>
          <w:i/>
          <w:iCs/>
          <w:color w:val="4472C4" w:themeColor="accent1"/>
          <w:lang w:eastAsia="it-IT"/>
        </w:rPr>
        <w:t>.</w:t>
      </w:r>
    </w:p>
    <w:p w14:paraId="1584AC5D" w14:textId="77777777" w:rsidR="00BC2731" w:rsidRPr="00AB13CE" w:rsidRDefault="00BC2731" w:rsidP="00AD07C9">
      <w:pPr>
        <w:spacing w:before="80" w:after="120" w:line="264" w:lineRule="auto"/>
        <w:jc w:val="both"/>
        <w:rPr>
          <w:rFonts w:ascii="Calibri" w:eastAsia="Times New Roman" w:hAnsi="Calibri" w:cs="Arial"/>
          <w:i/>
          <w:color w:val="70AD47" w:themeColor="accent6"/>
          <w:lang w:eastAsia="it-IT"/>
        </w:rPr>
      </w:pPr>
    </w:p>
    <w:p w14:paraId="29C1BE8B" w14:textId="5B024E0C" w:rsidR="00BC2731" w:rsidRPr="0077688D" w:rsidRDefault="00AA1F1F"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75" w:name="_Toc126664604"/>
      <w:r>
        <w:rPr>
          <w:rFonts w:ascii="Calibri" w:eastAsia="Times New Roman" w:hAnsi="Calibri" w:cs="Times New Roman"/>
          <w:b/>
          <w:iCs/>
          <w:snapToGrid w:val="0"/>
          <w:sz w:val="24"/>
          <w:szCs w:val="20"/>
          <w:lang w:eastAsia="it-IT"/>
        </w:rPr>
        <w:t>29</w:t>
      </w:r>
      <w:r w:rsidR="00BC2731" w:rsidRPr="0077688D">
        <w:rPr>
          <w:rFonts w:ascii="Calibri" w:eastAsia="Times New Roman" w:hAnsi="Calibri" w:cs="Times New Roman"/>
          <w:b/>
          <w:iCs/>
          <w:snapToGrid w:val="0"/>
          <w:sz w:val="24"/>
          <w:szCs w:val="20"/>
          <w:lang w:eastAsia="it-IT"/>
        </w:rPr>
        <w:t>- Obbligo di conservare le informazioni e richieste di informazioni</w:t>
      </w:r>
      <w:bookmarkEnd w:id="75"/>
    </w:p>
    <w:p w14:paraId="764DFE44" w14:textId="390B34D3" w:rsidR="00BC2731" w:rsidRPr="00BC2731" w:rsidRDefault="00BC2731" w:rsidP="00BC2731">
      <w:pPr>
        <w:spacing w:before="80" w:after="120" w:line="264" w:lineRule="auto"/>
        <w:jc w:val="both"/>
        <w:rPr>
          <w:rFonts w:ascii="Calibri" w:eastAsia="Times New Roman" w:hAnsi="Calibri" w:cs="Arial"/>
          <w:i/>
          <w:lang w:eastAsia="it-IT"/>
        </w:rPr>
      </w:pPr>
      <w:r w:rsidRPr="00BC2731">
        <w:rPr>
          <w:rFonts w:ascii="Calibri" w:eastAsia="Times New Roman" w:hAnsi="Calibri" w:cs="Arial"/>
          <w:i/>
          <w:lang w:eastAsia="it-IT"/>
        </w:rPr>
        <w:t>Riferimenti: art.</w:t>
      </w:r>
      <w:r>
        <w:rPr>
          <w:rFonts w:ascii="Calibri" w:eastAsia="Times New Roman" w:hAnsi="Calibri" w:cs="Arial"/>
          <w:i/>
          <w:lang w:eastAsia="it-IT"/>
        </w:rPr>
        <w:t>49</w:t>
      </w:r>
      <w:r w:rsidRPr="00BC2731">
        <w:rPr>
          <w:rFonts w:ascii="Calibri" w:eastAsia="Times New Roman" w:hAnsi="Calibri" w:cs="Arial"/>
          <w:i/>
          <w:lang w:eastAsia="it-IT"/>
        </w:rPr>
        <w:t xml:space="preserve"> Regolamento </w:t>
      </w:r>
      <w:r>
        <w:rPr>
          <w:rFonts w:ascii="Calibri" w:eastAsia="Times New Roman" w:hAnsi="Calibri" w:cs="Arial"/>
          <w:i/>
          <w:lang w:eastAsia="it-IT"/>
        </w:rPr>
        <w:t>CLP</w:t>
      </w:r>
    </w:p>
    <w:p w14:paraId="745AFFFF" w14:textId="0559796B" w:rsidR="00BC2731" w:rsidRPr="00CF0E1A" w:rsidRDefault="00BC2731" w:rsidP="00BC2731">
      <w:pPr>
        <w:spacing w:before="80" w:after="120" w:line="264" w:lineRule="auto"/>
        <w:jc w:val="both"/>
        <w:rPr>
          <w:rFonts w:ascii="Calibri" w:eastAsia="Times New Roman" w:hAnsi="Calibri" w:cs="Arial"/>
          <w:iCs/>
          <w:color w:val="4472C4" w:themeColor="accent1"/>
          <w:lang w:eastAsia="it-IT"/>
        </w:rPr>
      </w:pPr>
      <w:r w:rsidRPr="00CF0E1A">
        <w:rPr>
          <w:rFonts w:ascii="Calibri" w:eastAsia="Times New Roman" w:hAnsi="Calibri" w:cs="Arial"/>
          <w:i/>
          <w:color w:val="4472C4" w:themeColor="accent1"/>
          <w:lang w:eastAsia="it-IT"/>
        </w:rPr>
        <w:t xml:space="preserve">Devono essere conservate per </w:t>
      </w:r>
      <w:proofErr w:type="gramStart"/>
      <w:r w:rsidRPr="00CF0E1A">
        <w:rPr>
          <w:rFonts w:ascii="Calibri" w:eastAsia="Times New Roman" w:hAnsi="Calibri" w:cs="Arial"/>
          <w:i/>
          <w:color w:val="4472C4" w:themeColor="accent1"/>
          <w:lang w:eastAsia="it-IT"/>
        </w:rPr>
        <w:t>10</w:t>
      </w:r>
      <w:proofErr w:type="gramEnd"/>
      <w:r w:rsidRPr="00CF0E1A">
        <w:rPr>
          <w:rFonts w:ascii="Calibri" w:eastAsia="Times New Roman" w:hAnsi="Calibri" w:cs="Arial"/>
          <w:i/>
          <w:color w:val="4472C4" w:themeColor="accent1"/>
          <w:lang w:eastAsia="it-IT"/>
        </w:rPr>
        <w:t xml:space="preserve"> anni le informazioni relative alla classificazione ed etichettatura, a partire dalla data in cui si è fornita per l’ultima volta la sostanza e/o la miscela. Questo obbligo si applica anche nel caso che la sostanza e/o la miscela non sia pericolosa, le informazioni relative alle valutazioni fatte e le relative conclusioni devono essere conservate dal fabbricante e/o importatore</w:t>
      </w:r>
    </w:p>
    <w:p w14:paraId="621BDB1C" w14:textId="77777777" w:rsidR="00BC2731" w:rsidRPr="00CF0E1A" w:rsidRDefault="00BC2731" w:rsidP="00BC2731">
      <w:pPr>
        <w:spacing w:before="80" w:after="120" w:line="264" w:lineRule="auto"/>
        <w:jc w:val="both"/>
        <w:rPr>
          <w:rFonts w:ascii="Calibri" w:eastAsia="Times New Roman" w:hAnsi="Calibri" w:cs="Arial"/>
          <w:iCs/>
          <w:color w:val="4472C4" w:themeColor="accent1"/>
          <w:lang w:eastAsia="it-IT"/>
        </w:rPr>
      </w:pPr>
      <w:r w:rsidRPr="00CF0E1A">
        <w:rPr>
          <w:rFonts w:ascii="Calibri" w:eastAsia="Calibri" w:hAnsi="Calibri" w:cs="Times New Roman"/>
          <w:i/>
          <w:iCs/>
          <w:color w:val="4472C4" w:themeColor="accent1"/>
        </w:rPr>
        <w:t>Sono sanzionabili secondo il</w:t>
      </w:r>
      <w:r w:rsidRPr="00CF0E1A">
        <w:rPr>
          <w:i/>
          <w:iCs/>
          <w:color w:val="4472C4" w:themeColor="accent1"/>
        </w:rPr>
        <w:t xml:space="preserve"> </w:t>
      </w:r>
      <w:proofErr w:type="spellStart"/>
      <w:r w:rsidRPr="00CF0E1A">
        <w:rPr>
          <w:i/>
          <w:iCs/>
          <w:color w:val="4472C4" w:themeColor="accent1"/>
        </w:rPr>
        <w:t>d.lgs</w:t>
      </w:r>
      <w:proofErr w:type="spellEnd"/>
      <w:r w:rsidRPr="00CF0E1A">
        <w:rPr>
          <w:i/>
          <w:iCs/>
          <w:color w:val="4472C4" w:themeColor="accent1"/>
        </w:rPr>
        <w:t xml:space="preserve"> 186/2011 art 10:</w:t>
      </w:r>
    </w:p>
    <w:p w14:paraId="61B1BC94" w14:textId="156CBD2A" w:rsidR="00BC2731" w:rsidRDefault="00BC2731" w:rsidP="085B2EC0">
      <w:pPr>
        <w:pStyle w:val="Paragrafoelenco"/>
        <w:numPr>
          <w:ilvl w:val="0"/>
          <w:numId w:val="25"/>
        </w:numPr>
        <w:spacing w:before="80" w:after="120" w:line="264" w:lineRule="auto"/>
        <w:jc w:val="both"/>
        <w:rPr>
          <w:i/>
          <w:iCs/>
          <w:color w:val="4472C4" w:themeColor="accent1"/>
        </w:rPr>
      </w:pPr>
      <w:r w:rsidRPr="085B2EC0">
        <w:rPr>
          <w:i/>
          <w:iCs/>
          <w:color w:val="4472C4" w:themeColor="accent1"/>
        </w:rPr>
        <w:t>Art 49.1 e 49.2 del CLP: obblighi di raccolta, e di messa a disposizione delle informazioni utilizzate ai fini della classificazione e dell'etichettatura, anche in caso di cessata attività o trasferimento: 3.000 -</w:t>
      </w:r>
      <w:r w:rsidR="1539B49E" w:rsidRPr="085B2EC0">
        <w:rPr>
          <w:i/>
          <w:iCs/>
          <w:color w:val="4472C4" w:themeColor="accent1"/>
        </w:rPr>
        <w:t xml:space="preserve"> </w:t>
      </w:r>
      <w:r w:rsidRPr="085B2EC0">
        <w:rPr>
          <w:i/>
          <w:iCs/>
          <w:color w:val="4472C4" w:themeColor="accent1"/>
        </w:rPr>
        <w:t>18.000 €</w:t>
      </w:r>
    </w:p>
    <w:p w14:paraId="78615AAF" w14:textId="77777777" w:rsidR="001D654C" w:rsidRPr="002851FE" w:rsidRDefault="001D654C"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p>
    <w:p w14:paraId="71E14431" w14:textId="2BAC793B" w:rsidR="00BC2731" w:rsidRPr="0077688D" w:rsidRDefault="00BC2731" w:rsidP="00A25AB5">
      <w:pPr>
        <w:keepNext/>
        <w:shd w:val="clear" w:color="auto" w:fill="000000" w:themeFill="text1"/>
        <w:spacing w:before="120" w:after="80" w:line="264" w:lineRule="auto"/>
        <w:jc w:val="both"/>
        <w:outlineLvl w:val="2"/>
        <w:rPr>
          <w:rFonts w:ascii="Calibri" w:eastAsia="Times New Roman" w:hAnsi="Calibri" w:cs="Times New Roman"/>
          <w:b/>
          <w:iCs/>
          <w:snapToGrid w:val="0"/>
          <w:sz w:val="24"/>
          <w:szCs w:val="20"/>
          <w:lang w:eastAsia="it-IT"/>
        </w:rPr>
      </w:pPr>
      <w:bookmarkStart w:id="76" w:name="_Toc126664605"/>
      <w:r w:rsidRPr="0077688D">
        <w:rPr>
          <w:rFonts w:ascii="Calibri" w:eastAsia="Times New Roman" w:hAnsi="Calibri" w:cs="Times New Roman"/>
          <w:b/>
          <w:iCs/>
          <w:snapToGrid w:val="0"/>
          <w:sz w:val="24"/>
          <w:szCs w:val="20"/>
          <w:lang w:eastAsia="it-IT"/>
        </w:rPr>
        <w:t>NOTIFICA PREVISTA DALLA DIRETTIVA RIFIUTI (WFD)</w:t>
      </w:r>
      <w:bookmarkEnd w:id="76"/>
    </w:p>
    <w:p w14:paraId="67B96064" w14:textId="77777777" w:rsidR="00BC2731" w:rsidRDefault="00BC2731" w:rsidP="001F2B93">
      <w:pPr>
        <w:spacing w:before="80" w:after="120" w:line="264" w:lineRule="auto"/>
        <w:jc w:val="both"/>
        <w:rPr>
          <w:rFonts w:ascii="Calibri" w:eastAsia="Calibri" w:hAnsi="Calibri" w:cs="Times New Roman"/>
          <w:b/>
          <w:bCs/>
        </w:rPr>
      </w:pPr>
    </w:p>
    <w:p w14:paraId="191628E3" w14:textId="4A377ADC" w:rsidR="001F2B93" w:rsidRPr="0077688D" w:rsidRDefault="00AA1F1F" w:rsidP="002851FE">
      <w:pPr>
        <w:keepNext/>
        <w:spacing w:before="120" w:after="80" w:line="264" w:lineRule="auto"/>
        <w:jc w:val="both"/>
        <w:outlineLvl w:val="2"/>
        <w:rPr>
          <w:rFonts w:ascii="Calibri" w:eastAsia="Times New Roman" w:hAnsi="Calibri" w:cs="Times New Roman"/>
          <w:b/>
          <w:iCs/>
          <w:snapToGrid w:val="0"/>
          <w:sz w:val="24"/>
          <w:szCs w:val="20"/>
          <w:lang w:eastAsia="it-IT"/>
        </w:rPr>
      </w:pPr>
      <w:bookmarkStart w:id="77" w:name="_Toc126664606"/>
      <w:r>
        <w:rPr>
          <w:rFonts w:ascii="Calibri" w:eastAsia="Times New Roman" w:hAnsi="Calibri" w:cs="Times New Roman"/>
          <w:b/>
          <w:iCs/>
          <w:snapToGrid w:val="0"/>
          <w:sz w:val="24"/>
          <w:szCs w:val="20"/>
          <w:lang w:eastAsia="it-IT"/>
        </w:rPr>
        <w:t>30</w:t>
      </w:r>
      <w:r w:rsidR="001F2B93" w:rsidRPr="0077688D">
        <w:rPr>
          <w:rFonts w:ascii="Calibri" w:eastAsia="Times New Roman" w:hAnsi="Calibri" w:cs="Times New Roman"/>
          <w:b/>
          <w:iCs/>
          <w:snapToGrid w:val="0"/>
          <w:sz w:val="24"/>
          <w:szCs w:val="20"/>
          <w:lang w:eastAsia="it-IT"/>
        </w:rPr>
        <w:t>- Database SCIP</w:t>
      </w:r>
      <w:bookmarkEnd w:id="77"/>
    </w:p>
    <w:p w14:paraId="022B5872" w14:textId="77777777" w:rsidR="001F2B93" w:rsidRPr="001F2B93" w:rsidRDefault="001F2B93" w:rsidP="001F2B93">
      <w:pPr>
        <w:spacing w:before="80" w:after="120" w:line="264" w:lineRule="auto"/>
        <w:jc w:val="both"/>
        <w:rPr>
          <w:rFonts w:ascii="Calibri" w:eastAsia="Calibri" w:hAnsi="Calibri" w:cs="Times New Roman"/>
          <w:i/>
          <w:iCs/>
          <w:lang w:eastAsia="it-IT"/>
        </w:rPr>
      </w:pPr>
      <w:r w:rsidRPr="001F2B93">
        <w:rPr>
          <w:rFonts w:ascii="Calibri" w:eastAsia="Times New Roman" w:hAnsi="Calibri" w:cs="Times New Roman"/>
          <w:i/>
          <w:iCs/>
          <w:szCs w:val="20"/>
          <w:lang w:eastAsia="it-IT"/>
        </w:rPr>
        <w:t>Riferimenti: Direttiva 851/2018 art. 9(1) e 9(2) Dal 5 gennaio 2021</w:t>
      </w:r>
    </w:p>
    <w:p w14:paraId="53ECC7EF" w14:textId="77777777" w:rsidR="001F2B93" w:rsidRPr="001F2B93" w:rsidRDefault="001F2B93" w:rsidP="001F2B93">
      <w:pPr>
        <w:spacing w:before="80" w:after="120" w:line="264" w:lineRule="auto"/>
        <w:jc w:val="both"/>
        <w:rPr>
          <w:rFonts w:ascii="Calibri" w:eastAsia="Times New Roman" w:hAnsi="Calibri" w:cs="Times New Roman"/>
          <w:i/>
          <w:iCs/>
          <w:szCs w:val="20"/>
          <w:lang w:eastAsia="it-IT"/>
        </w:rPr>
      </w:pPr>
      <w:r w:rsidRPr="001F2B93">
        <w:rPr>
          <w:rFonts w:ascii="Calibri" w:eastAsia="Times New Roman" w:hAnsi="Calibri" w:cs="Times New Roman"/>
          <w:i/>
          <w:iCs/>
          <w:szCs w:val="20"/>
          <w:lang w:eastAsia="it-IT"/>
        </w:rPr>
        <w:t xml:space="preserve">Linee guida: </w:t>
      </w:r>
      <w:hyperlink r:id="rId20" w:history="1">
        <w:r w:rsidRPr="001F2B93">
          <w:rPr>
            <w:rFonts w:ascii="Calibri" w:eastAsia="Times New Roman" w:hAnsi="Calibri" w:cs="Arial"/>
            <w:color w:val="0000FF"/>
            <w:u w:val="single"/>
            <w:lang w:eastAsia="it-IT"/>
          </w:rPr>
          <w:t>https://echa.europa.eu/it/scip</w:t>
        </w:r>
      </w:hyperlink>
    </w:p>
    <w:p w14:paraId="3FE62263" w14:textId="0872C199" w:rsidR="00980203" w:rsidRPr="00E618F2" w:rsidRDefault="00980203" w:rsidP="00980203">
      <w:pPr>
        <w:spacing w:before="80" w:after="120" w:line="264" w:lineRule="auto"/>
        <w:jc w:val="both"/>
        <w:rPr>
          <w:rFonts w:ascii="Calibri" w:eastAsia="Times New Roman" w:hAnsi="Calibri" w:cs="Arial"/>
          <w:i/>
          <w:color w:val="4472C4" w:themeColor="accent1"/>
          <w:lang w:eastAsia="it-IT"/>
        </w:rPr>
      </w:pPr>
      <w:r w:rsidRPr="00E618F2">
        <w:rPr>
          <w:rFonts w:ascii="Calibri" w:eastAsia="Times New Roman" w:hAnsi="Calibri" w:cs="Arial"/>
          <w:i/>
          <w:color w:val="4472C4" w:themeColor="accent1"/>
          <w:lang w:eastAsia="it-IT"/>
        </w:rPr>
        <w:t>SCIP è il database per le informazioni sulle sostanze problematiche negli articoli in quanto tali o in oggetti complessi (prodotti) stabilito ai sensi della direttiva quadro sui rifiuti (WFD).</w:t>
      </w:r>
    </w:p>
    <w:p w14:paraId="2787FC57" w14:textId="37CCD200" w:rsidR="0067716E" w:rsidRPr="00E618F2" w:rsidRDefault="00980203" w:rsidP="00980203">
      <w:pPr>
        <w:spacing w:before="80" w:after="120" w:line="264" w:lineRule="auto"/>
        <w:jc w:val="both"/>
        <w:rPr>
          <w:rFonts w:ascii="Calibri" w:eastAsia="Times New Roman" w:hAnsi="Calibri" w:cs="Arial"/>
          <w:i/>
          <w:color w:val="4472C4" w:themeColor="accent1"/>
          <w:lang w:eastAsia="it-IT"/>
        </w:rPr>
      </w:pPr>
      <w:r w:rsidRPr="00E618F2">
        <w:rPr>
          <w:rFonts w:ascii="Calibri" w:eastAsia="Times New Roman" w:hAnsi="Calibri" w:cs="Arial"/>
          <w:i/>
          <w:color w:val="4472C4" w:themeColor="accent1"/>
          <w:lang w:eastAsia="it-IT"/>
        </w:rPr>
        <w:t>Le aziende che forniscono articoli contenenti sostanze estremamente preoccupanti (SVHC) nell'elenco di sostanze candidate in una concentrazione superiore allo 0,1% peso in peso (p / p) sul mercato dell'UE devono presentare informazioni su questi articoli all'ECHA, a partire dal 5 gennaio 2021. Il database SCIP garantisce che le informazioni sugli articoli contenenti sostanze incluse nell'elenco di sostanze candidate siano disponibili durante l'intero ciclo di vita dei prodotti e dei materiali, anche nella fase dei rifiuti. Le informazioni nella banca dati vengono quindi messe a disposizione degli operatori dei rifiuti e dei consumatori.</w:t>
      </w:r>
    </w:p>
    <w:p w14:paraId="093F7F6E" w14:textId="6D152FFB" w:rsidR="00980203" w:rsidRPr="00E618F2" w:rsidRDefault="00980203" w:rsidP="001F2B93">
      <w:pPr>
        <w:spacing w:before="80" w:after="120" w:line="264" w:lineRule="auto"/>
        <w:jc w:val="both"/>
        <w:rPr>
          <w:rFonts w:ascii="Calibri" w:eastAsia="Times New Roman" w:hAnsi="Calibri" w:cs="Arial"/>
          <w:i/>
          <w:color w:val="4472C4" w:themeColor="accent1"/>
          <w:lang w:eastAsia="it-IT"/>
        </w:rPr>
      </w:pPr>
      <w:r w:rsidRPr="00E618F2">
        <w:rPr>
          <w:rFonts w:ascii="Calibri" w:eastAsia="Times New Roman" w:hAnsi="Calibri" w:cs="Arial"/>
          <w:i/>
          <w:color w:val="4472C4" w:themeColor="accent1"/>
          <w:lang w:eastAsia="it-IT"/>
        </w:rPr>
        <w:t>Questa novità è un’estensione dell’obbligo di comunicazione lungo la catena di approvvigionamento secondo l’art. 33 del Regolamento REACH.</w:t>
      </w:r>
    </w:p>
    <w:p w14:paraId="5FEA37E2" w14:textId="50529B1E" w:rsidR="00980203" w:rsidRPr="00E618F2" w:rsidRDefault="00980203" w:rsidP="085B2EC0">
      <w:pPr>
        <w:spacing w:before="80" w:after="120" w:line="264" w:lineRule="auto"/>
        <w:jc w:val="both"/>
        <w:rPr>
          <w:rFonts w:ascii="Calibri" w:eastAsia="Times New Roman" w:hAnsi="Calibri" w:cs="Arial"/>
          <w:i/>
          <w:iCs/>
          <w:color w:val="4472C4" w:themeColor="accent1"/>
          <w:lang w:eastAsia="it-IT"/>
        </w:rPr>
      </w:pPr>
      <w:r w:rsidRPr="085B2EC0">
        <w:rPr>
          <w:rFonts w:ascii="Calibri" w:eastAsia="Times New Roman" w:hAnsi="Calibri" w:cs="Arial"/>
          <w:i/>
          <w:iCs/>
          <w:color w:val="4472C4" w:themeColor="accent1"/>
          <w:lang w:eastAsia="it-IT"/>
        </w:rPr>
        <w:t xml:space="preserve">Non esiste al momento una sanzione specifica per la mancata notifica, ma si può rincorrere alle sanzioni previste </w:t>
      </w:r>
      <w:r w:rsidR="00600266" w:rsidRPr="085B2EC0">
        <w:rPr>
          <w:rFonts w:ascii="Calibri" w:eastAsia="Times New Roman" w:hAnsi="Calibri" w:cs="Arial"/>
          <w:i/>
          <w:iCs/>
          <w:color w:val="4472C4" w:themeColor="accent1"/>
          <w:lang w:eastAsia="it-IT"/>
        </w:rPr>
        <w:t>per l’</w:t>
      </w:r>
      <w:r w:rsidRPr="085B2EC0">
        <w:rPr>
          <w:rFonts w:ascii="Calibri" w:eastAsia="Times New Roman" w:hAnsi="Calibri" w:cs="Arial"/>
          <w:i/>
          <w:iCs/>
          <w:color w:val="4472C4" w:themeColor="accent1"/>
          <w:lang w:eastAsia="it-IT"/>
        </w:rPr>
        <w:t>art. 33</w:t>
      </w:r>
      <w:r w:rsidR="00600266" w:rsidRPr="085B2EC0">
        <w:rPr>
          <w:rFonts w:ascii="Calibri" w:eastAsia="Times New Roman" w:hAnsi="Calibri" w:cs="Arial"/>
          <w:i/>
          <w:iCs/>
          <w:color w:val="4472C4" w:themeColor="accent1"/>
          <w:lang w:eastAsia="it-IT"/>
        </w:rPr>
        <w:t xml:space="preserve"> del REACH</w:t>
      </w:r>
      <w:r w:rsidR="30F7BE26" w:rsidRPr="085B2EC0">
        <w:rPr>
          <w:rFonts w:ascii="Calibri" w:eastAsia="Times New Roman" w:hAnsi="Calibri" w:cs="Arial"/>
          <w:i/>
          <w:iCs/>
          <w:color w:val="4472C4" w:themeColor="accent1"/>
          <w:lang w:eastAsia="it-IT"/>
        </w:rPr>
        <w:t>.</w:t>
      </w:r>
    </w:p>
    <w:p w14:paraId="31EC9E83" w14:textId="77777777" w:rsidR="00980203" w:rsidRPr="001F2B93" w:rsidRDefault="00980203" w:rsidP="001F2B93">
      <w:pPr>
        <w:spacing w:before="80" w:after="120" w:line="264" w:lineRule="auto"/>
        <w:jc w:val="both"/>
        <w:rPr>
          <w:rFonts w:ascii="Calibri" w:eastAsia="Times New Roman" w:hAnsi="Calibri" w:cs="Arial"/>
          <w:iCs/>
          <w:color w:val="FF0000"/>
          <w:lang w:eastAsia="it-IT"/>
        </w:rPr>
      </w:pPr>
    </w:p>
    <w:p w14:paraId="61174C9D" w14:textId="46386A01" w:rsidR="001F2B93" w:rsidRPr="00A94B13" w:rsidRDefault="001F2B93" w:rsidP="00A25AB5">
      <w:pPr>
        <w:keepNext/>
        <w:shd w:val="clear" w:color="auto" w:fill="000000" w:themeFill="text1"/>
        <w:spacing w:before="120" w:after="80" w:line="264" w:lineRule="auto"/>
        <w:jc w:val="both"/>
        <w:outlineLvl w:val="2"/>
        <w:rPr>
          <w:rFonts w:ascii="Calibri" w:eastAsia="Times New Roman" w:hAnsi="Calibri" w:cs="Times New Roman"/>
          <w:b/>
          <w:iCs/>
          <w:caps/>
          <w:snapToGrid w:val="0"/>
          <w:sz w:val="24"/>
          <w:szCs w:val="20"/>
          <w:lang w:eastAsia="it-IT"/>
        </w:rPr>
      </w:pPr>
      <w:bookmarkStart w:id="78" w:name="_Toc126664607"/>
      <w:bookmarkStart w:id="79" w:name="_Hlk55995541"/>
      <w:r w:rsidRPr="00A94B13">
        <w:rPr>
          <w:rFonts w:ascii="Calibri" w:eastAsia="Times New Roman" w:hAnsi="Calibri" w:cs="Times New Roman"/>
          <w:b/>
          <w:iCs/>
          <w:caps/>
          <w:snapToGrid w:val="0"/>
          <w:sz w:val="24"/>
          <w:szCs w:val="20"/>
          <w:lang w:eastAsia="it-IT"/>
        </w:rPr>
        <w:t xml:space="preserve">Conclusioni della valutazione </w:t>
      </w:r>
      <w:r w:rsidR="00C62E96">
        <w:rPr>
          <w:rFonts w:ascii="Calibri" w:eastAsia="Times New Roman" w:hAnsi="Calibri" w:cs="Times New Roman"/>
          <w:b/>
          <w:iCs/>
          <w:caps/>
          <w:snapToGrid w:val="0"/>
          <w:sz w:val="24"/>
          <w:szCs w:val="20"/>
          <w:lang w:eastAsia="it-IT"/>
        </w:rPr>
        <w:t>reach e clp</w:t>
      </w:r>
      <w:bookmarkEnd w:id="78"/>
    </w:p>
    <w:p w14:paraId="0B61DA26" w14:textId="00037D0F" w:rsidR="004B7B53" w:rsidRPr="00E618F2" w:rsidRDefault="00CF411D" w:rsidP="085B2EC0">
      <w:pPr>
        <w:jc w:val="both"/>
        <w:rPr>
          <w:rFonts w:ascii="Calibri" w:eastAsia="Times New Roman" w:hAnsi="Calibri" w:cs="Arial"/>
          <w:i/>
          <w:iCs/>
          <w:color w:val="4472C4" w:themeColor="accent1"/>
          <w:lang w:eastAsia="it-IT"/>
        </w:rPr>
      </w:pPr>
      <w:bookmarkStart w:id="80" w:name="_Hlk68848189"/>
      <w:bookmarkEnd w:id="79"/>
      <w:r w:rsidRPr="085B2EC0">
        <w:rPr>
          <w:rFonts w:ascii="Calibri" w:eastAsia="Times New Roman" w:hAnsi="Calibri" w:cs="Arial"/>
          <w:i/>
          <w:iCs/>
          <w:color w:val="4472C4" w:themeColor="accent1"/>
          <w:lang w:eastAsia="it-IT"/>
        </w:rPr>
        <w:t xml:space="preserve">Nella colonna </w:t>
      </w:r>
      <w:r w:rsidR="00664149" w:rsidRPr="085B2EC0">
        <w:rPr>
          <w:rFonts w:ascii="Calibri" w:eastAsia="Times New Roman" w:hAnsi="Calibri" w:cs="Arial"/>
          <w:i/>
          <w:iCs/>
          <w:color w:val="4472C4" w:themeColor="accent1"/>
          <w:lang w:eastAsia="it-IT"/>
        </w:rPr>
        <w:t>“</w:t>
      </w:r>
      <w:r w:rsidRPr="085B2EC0">
        <w:rPr>
          <w:sz w:val="20"/>
          <w:szCs w:val="20"/>
        </w:rPr>
        <w:t>Esito delle valutazioni aziendali”</w:t>
      </w:r>
      <w:r w:rsidRPr="085B2EC0">
        <w:rPr>
          <w:b/>
          <w:bCs/>
          <w:sz w:val="20"/>
          <w:szCs w:val="20"/>
        </w:rPr>
        <w:t xml:space="preserve"> </w:t>
      </w:r>
      <w:r w:rsidRPr="085B2EC0">
        <w:rPr>
          <w:sz w:val="20"/>
          <w:szCs w:val="20"/>
        </w:rPr>
        <w:t>della check List</w:t>
      </w:r>
      <w:r w:rsidRPr="085B2EC0">
        <w:rPr>
          <w:b/>
          <w:bCs/>
          <w:sz w:val="20"/>
          <w:szCs w:val="20"/>
        </w:rPr>
        <w:t xml:space="preserve"> </w:t>
      </w:r>
      <w:r w:rsidRPr="085B2EC0">
        <w:rPr>
          <w:rFonts w:ascii="Calibri" w:eastAsia="Times New Roman" w:hAnsi="Calibri" w:cs="Arial"/>
          <w:i/>
          <w:iCs/>
          <w:color w:val="4472C4" w:themeColor="accent1"/>
          <w:lang w:eastAsia="it-IT"/>
        </w:rPr>
        <w:t>s</w:t>
      </w:r>
      <w:r w:rsidR="00553290" w:rsidRPr="085B2EC0">
        <w:rPr>
          <w:rFonts w:ascii="Calibri" w:eastAsia="Times New Roman" w:hAnsi="Calibri" w:cs="Arial"/>
          <w:i/>
          <w:iCs/>
          <w:color w:val="4472C4" w:themeColor="accent1"/>
          <w:lang w:eastAsia="it-IT"/>
        </w:rPr>
        <w:t>i</w:t>
      </w:r>
      <w:r w:rsidR="004B7B53" w:rsidRPr="085B2EC0">
        <w:rPr>
          <w:rFonts w:ascii="Calibri" w:eastAsia="Times New Roman" w:hAnsi="Calibri" w:cs="Arial"/>
          <w:i/>
          <w:iCs/>
          <w:color w:val="4472C4" w:themeColor="accent1"/>
          <w:lang w:eastAsia="it-IT"/>
        </w:rPr>
        <w:t xml:space="preserve"> inserisce il risultato della valutazione in maniera sintetica</w:t>
      </w:r>
      <w:r w:rsidRPr="085B2EC0">
        <w:rPr>
          <w:rFonts w:ascii="Calibri" w:eastAsia="Times New Roman" w:hAnsi="Calibri" w:cs="Arial"/>
          <w:i/>
          <w:iCs/>
          <w:color w:val="4472C4" w:themeColor="accent1"/>
          <w:lang w:eastAsia="it-IT"/>
        </w:rPr>
        <w:t xml:space="preserve"> per ciascuna delle disposizioni descritte. La docu</w:t>
      </w:r>
      <w:r w:rsidR="00FD4042" w:rsidRPr="085B2EC0">
        <w:rPr>
          <w:rFonts w:ascii="Calibri" w:eastAsia="Times New Roman" w:hAnsi="Calibri" w:cs="Arial"/>
          <w:i/>
          <w:iCs/>
          <w:color w:val="4472C4" w:themeColor="accent1"/>
          <w:lang w:eastAsia="it-IT"/>
        </w:rPr>
        <w:t xml:space="preserve">mentazione completa relativa agli adempimenti </w:t>
      </w:r>
      <w:r w:rsidRPr="085B2EC0">
        <w:rPr>
          <w:rFonts w:ascii="Calibri" w:eastAsia="Times New Roman" w:hAnsi="Calibri" w:cs="Arial"/>
          <w:i/>
          <w:iCs/>
          <w:color w:val="4472C4" w:themeColor="accent1"/>
          <w:lang w:eastAsia="it-IT"/>
        </w:rPr>
        <w:t xml:space="preserve">deve essere conservata in azienda e resa disponibile in </w:t>
      </w:r>
      <w:r w:rsidR="006C4A38" w:rsidRPr="085B2EC0">
        <w:rPr>
          <w:rFonts w:ascii="Calibri" w:eastAsia="Times New Roman" w:hAnsi="Calibri" w:cs="Arial"/>
          <w:i/>
          <w:iCs/>
          <w:color w:val="4472C4" w:themeColor="accent1"/>
          <w:lang w:eastAsia="it-IT"/>
        </w:rPr>
        <w:t>c</w:t>
      </w:r>
      <w:r w:rsidRPr="085B2EC0">
        <w:rPr>
          <w:rFonts w:ascii="Calibri" w:eastAsia="Times New Roman" w:hAnsi="Calibri" w:cs="Arial"/>
          <w:i/>
          <w:iCs/>
          <w:color w:val="4472C4" w:themeColor="accent1"/>
          <w:lang w:eastAsia="it-IT"/>
        </w:rPr>
        <w:t>aso di ispezione</w:t>
      </w:r>
    </w:p>
    <w:bookmarkEnd w:id="80"/>
    <w:p w14:paraId="7D87E9FA" w14:textId="77777777" w:rsidR="004B7B53" w:rsidRDefault="004B7B53" w:rsidP="001F2B93">
      <w:pPr>
        <w:spacing w:before="80" w:after="120" w:line="264" w:lineRule="auto"/>
        <w:jc w:val="both"/>
        <w:rPr>
          <w:rFonts w:ascii="Calibri" w:eastAsia="Times New Roman" w:hAnsi="Calibri" w:cs="Arial"/>
          <w:iCs/>
          <w:lang w:eastAsia="it-IT"/>
        </w:rPr>
      </w:pPr>
    </w:p>
    <w:p w14:paraId="34F38484" w14:textId="10AA35D2" w:rsidR="004B7B53" w:rsidRPr="00680E91" w:rsidRDefault="00BC2731" w:rsidP="001F2B93">
      <w:pPr>
        <w:spacing w:before="80" w:after="120" w:line="264" w:lineRule="auto"/>
        <w:jc w:val="both"/>
        <w:rPr>
          <w:rFonts w:ascii="Calibri" w:eastAsia="Times New Roman" w:hAnsi="Calibri" w:cs="Arial"/>
          <w:iCs/>
          <w:color w:val="4472C4" w:themeColor="accent1"/>
          <w:lang w:eastAsia="it-IT"/>
        </w:rPr>
      </w:pPr>
      <w:r w:rsidRPr="00680E91">
        <w:rPr>
          <w:rFonts w:ascii="Calibri" w:eastAsia="Times New Roman" w:hAnsi="Calibri" w:cs="Arial"/>
          <w:iCs/>
          <w:color w:val="4472C4" w:themeColor="accent1"/>
          <w:lang w:eastAsia="it-IT"/>
        </w:rPr>
        <w:lastRenderedPageBreak/>
        <w:t>Note</w:t>
      </w:r>
    </w:p>
    <w:p w14:paraId="24462E3D" w14:textId="3D45AB34" w:rsidR="001F2B93" w:rsidRPr="00680E91" w:rsidRDefault="002C58CE" w:rsidP="001F2B93">
      <w:pPr>
        <w:spacing w:before="80" w:after="120" w:line="264" w:lineRule="auto"/>
        <w:jc w:val="both"/>
        <w:rPr>
          <w:rFonts w:ascii="Calibri" w:eastAsia="Times New Roman" w:hAnsi="Calibri" w:cs="Arial"/>
          <w:iCs/>
          <w:color w:val="4472C4" w:themeColor="accent1"/>
          <w:u w:val="single"/>
          <w:lang w:eastAsia="it-IT"/>
        </w:rPr>
      </w:pPr>
      <w:r w:rsidRPr="00680E91">
        <w:rPr>
          <w:rFonts w:ascii="Calibri" w:eastAsia="Times New Roman" w:hAnsi="Calibri" w:cs="Arial"/>
          <w:iCs/>
          <w:color w:val="4472C4" w:themeColor="accent1"/>
          <w:lang w:eastAsia="it-IT"/>
        </w:rPr>
        <w:t xml:space="preserve">Le sanzioni previste per inadempienze del Regolamento REACH e CLP sono descritte nel </w:t>
      </w:r>
      <w:proofErr w:type="spellStart"/>
      <w:r w:rsidRPr="00680E91">
        <w:rPr>
          <w:rFonts w:ascii="Calibri" w:eastAsia="Times New Roman" w:hAnsi="Calibri" w:cs="Arial"/>
          <w:iCs/>
          <w:color w:val="4472C4" w:themeColor="accent1"/>
          <w:lang w:eastAsia="it-IT"/>
        </w:rPr>
        <w:t>D.lgs</w:t>
      </w:r>
      <w:proofErr w:type="spellEnd"/>
      <w:r w:rsidRPr="00680E91">
        <w:rPr>
          <w:rFonts w:ascii="Calibri" w:eastAsia="Times New Roman" w:hAnsi="Calibri" w:cs="Arial"/>
          <w:iCs/>
          <w:color w:val="4472C4" w:themeColor="accent1"/>
          <w:lang w:eastAsia="it-IT"/>
        </w:rPr>
        <w:t xml:space="preserve"> 133/2009 per il REACH e il </w:t>
      </w:r>
      <w:proofErr w:type="spellStart"/>
      <w:r w:rsidRPr="00680E91">
        <w:rPr>
          <w:rFonts w:ascii="Calibri" w:eastAsia="Times New Roman" w:hAnsi="Calibri" w:cs="Arial"/>
          <w:iCs/>
          <w:color w:val="4472C4" w:themeColor="accent1"/>
          <w:lang w:eastAsia="it-IT"/>
        </w:rPr>
        <w:t>D.lgs</w:t>
      </w:r>
      <w:proofErr w:type="spellEnd"/>
      <w:r w:rsidRPr="00680E91">
        <w:rPr>
          <w:rFonts w:ascii="Calibri" w:eastAsia="Times New Roman" w:hAnsi="Calibri" w:cs="Arial"/>
          <w:iCs/>
          <w:color w:val="4472C4" w:themeColor="accent1"/>
          <w:lang w:eastAsia="it-IT"/>
        </w:rPr>
        <w:t xml:space="preserve"> 186/2011 per il CLP</w:t>
      </w:r>
      <w:r w:rsidRPr="00680E91">
        <w:rPr>
          <w:rFonts w:ascii="Calibri" w:eastAsia="Times New Roman" w:hAnsi="Calibri" w:cs="Arial"/>
          <w:iCs/>
          <w:color w:val="4472C4" w:themeColor="accent1"/>
          <w:vertAlign w:val="superscript"/>
          <w:lang w:eastAsia="it-IT"/>
        </w:rPr>
        <w:footnoteReference w:id="5"/>
      </w:r>
      <w:r w:rsidRPr="00680E91">
        <w:rPr>
          <w:rFonts w:ascii="Calibri" w:eastAsia="Times New Roman" w:hAnsi="Calibri" w:cs="Arial"/>
          <w:iCs/>
          <w:color w:val="4472C4" w:themeColor="accent1"/>
          <w:lang w:eastAsia="it-IT"/>
        </w:rPr>
        <w:t xml:space="preserve">. In Lombardia con Delibera di Giunta regionale n. 1534 del 6 aprile 2011 individua  Regione Lombardia - Direzione Generale Salute - quale Autorità per i controlli REACH su territorio regionale, attribuendole funzioni di programmazione, coordinamento e raccordo istituzionale con l’Autorità competente nazionale, il Ministero della Salute e le Agenzie di Tutela della Salute (ATS), cui spettano ai sensi della </w:t>
      </w:r>
      <w:proofErr w:type="spellStart"/>
      <w:r w:rsidRPr="00680E91">
        <w:rPr>
          <w:rFonts w:ascii="Calibri" w:eastAsia="Times New Roman" w:hAnsi="Calibri" w:cs="Arial"/>
          <w:iCs/>
          <w:color w:val="4472C4" w:themeColor="accent1"/>
          <w:lang w:eastAsia="it-IT"/>
        </w:rPr>
        <w:t>l.r</w:t>
      </w:r>
      <w:proofErr w:type="spellEnd"/>
      <w:r w:rsidRPr="00680E91">
        <w:rPr>
          <w:rFonts w:ascii="Calibri" w:eastAsia="Times New Roman" w:hAnsi="Calibri" w:cs="Arial"/>
          <w:iCs/>
          <w:color w:val="4472C4" w:themeColor="accent1"/>
          <w:lang w:eastAsia="it-IT"/>
        </w:rPr>
        <w:t>. 33/09 il controllo e la vigilanza sulle sostanze pericolose, quali articolazioni territoriali</w:t>
      </w:r>
      <w:r w:rsidR="00476C37">
        <w:rPr>
          <w:rFonts w:ascii="Calibri" w:eastAsia="Times New Roman" w:hAnsi="Calibri" w:cs="Arial"/>
          <w:iCs/>
          <w:color w:val="4472C4" w:themeColor="accent1"/>
          <w:lang w:eastAsia="it-IT"/>
        </w:rPr>
        <w:t>,</w:t>
      </w:r>
      <w:r w:rsidRPr="00680E91">
        <w:rPr>
          <w:rFonts w:ascii="Calibri" w:eastAsia="Times New Roman" w:hAnsi="Calibri" w:cs="Arial"/>
          <w:iCs/>
          <w:color w:val="4472C4" w:themeColor="accent1"/>
          <w:lang w:eastAsia="it-IT"/>
        </w:rPr>
        <w:t xml:space="preserve"> che effettuano il controllo ufficiale, tramite il Dipartimento Medico di Prevenzione, sulla applicazione del Regolamento REACH e norme collegate. Rientra nelle competenze delle Agenzie di Tutela della Salute (ATS) l’irrogazione di sanzioni per violazioni commesse sul territorio lombardo al Regolamento REACH e alle norme collegate. </w:t>
      </w:r>
      <w:r w:rsidR="001F2B93" w:rsidRPr="00680E91">
        <w:rPr>
          <w:rFonts w:ascii="Calibri" w:eastAsia="Times New Roman" w:hAnsi="Calibri" w:cs="Arial"/>
          <w:iCs/>
          <w:color w:val="4472C4" w:themeColor="accent1"/>
          <w:lang w:eastAsia="it-IT"/>
        </w:rPr>
        <w:t xml:space="preserve">Le valutazioni sopra riportate devono </w:t>
      </w:r>
      <w:r w:rsidR="00476C37">
        <w:rPr>
          <w:rFonts w:ascii="Calibri" w:eastAsia="Times New Roman" w:hAnsi="Calibri" w:cs="Arial"/>
          <w:iCs/>
          <w:color w:val="4472C4" w:themeColor="accent1"/>
          <w:lang w:eastAsia="it-IT"/>
        </w:rPr>
        <w:t xml:space="preserve">essere </w:t>
      </w:r>
      <w:r w:rsidR="001F2B93" w:rsidRPr="00680E91">
        <w:rPr>
          <w:rFonts w:ascii="Calibri" w:eastAsia="Times New Roman" w:hAnsi="Calibri" w:cs="Arial"/>
          <w:iCs/>
          <w:color w:val="4472C4" w:themeColor="accent1"/>
          <w:lang w:eastAsia="it-IT"/>
        </w:rPr>
        <w:t>riveste alla luce dell’effettiva composizione che viene dichiarata dal produttore. Anche la definizione della tipologia di sostanza può essere rivista in funzione della composizione dichiarata.</w:t>
      </w:r>
      <w:r w:rsidR="008E31BC" w:rsidRPr="00680E91">
        <w:rPr>
          <w:rFonts w:ascii="Calibri" w:eastAsia="Times New Roman" w:hAnsi="Calibri" w:cs="Arial"/>
          <w:iCs/>
          <w:color w:val="4472C4" w:themeColor="accent1"/>
          <w:lang w:eastAsia="it-IT"/>
        </w:rPr>
        <w:t xml:space="preserve"> </w:t>
      </w:r>
      <w:r w:rsidR="008E31BC" w:rsidRPr="00680E91">
        <w:rPr>
          <w:rFonts w:ascii="Calibri" w:eastAsia="Times New Roman" w:hAnsi="Calibri" w:cs="Arial"/>
          <w:iCs/>
          <w:color w:val="4472C4" w:themeColor="accent1"/>
          <w:u w:val="single"/>
          <w:lang w:eastAsia="it-IT"/>
        </w:rPr>
        <w:t>Le valutazioni devono essere aggiornate nel caso vengono introdotte nuove SVHC, autorizzazioni, restrizioni,</w:t>
      </w:r>
      <w:r w:rsidR="00E165E5" w:rsidRPr="00680E91">
        <w:rPr>
          <w:rFonts w:ascii="Calibri" w:eastAsia="Times New Roman" w:hAnsi="Calibri" w:cs="Arial"/>
          <w:iCs/>
          <w:color w:val="4472C4" w:themeColor="accent1"/>
          <w:u w:val="single"/>
          <w:lang w:eastAsia="it-IT"/>
        </w:rPr>
        <w:t xml:space="preserve"> modifiche normative e</w:t>
      </w:r>
      <w:r w:rsidR="008E31BC" w:rsidRPr="00680E91">
        <w:rPr>
          <w:rFonts w:ascii="Calibri" w:eastAsia="Times New Roman" w:hAnsi="Calibri" w:cs="Arial"/>
          <w:iCs/>
          <w:color w:val="4472C4" w:themeColor="accent1"/>
          <w:u w:val="single"/>
          <w:lang w:eastAsia="it-IT"/>
        </w:rPr>
        <w:t xml:space="preserve"> si hanno a disposizioni ulteriori informazioni.</w:t>
      </w:r>
    </w:p>
    <w:p w14:paraId="4F1C451F" w14:textId="77777777" w:rsidR="00E06B3A" w:rsidRPr="001F2B93" w:rsidRDefault="00E06B3A" w:rsidP="001F2B93">
      <w:pPr>
        <w:spacing w:before="80" w:after="120" w:line="264" w:lineRule="auto"/>
        <w:jc w:val="both"/>
        <w:rPr>
          <w:rFonts w:ascii="Calibri" w:eastAsia="Times New Roman" w:hAnsi="Calibri" w:cs="Arial"/>
          <w:iCs/>
          <w:lang w:eastAsia="it-IT"/>
        </w:rPr>
      </w:pPr>
    </w:p>
    <w:p w14:paraId="37EF9D81" w14:textId="77777777" w:rsidR="00FF66F2" w:rsidRPr="00C62E96" w:rsidRDefault="00FF66F2" w:rsidP="00C62E96">
      <w:pPr>
        <w:keepNext/>
        <w:spacing w:before="120" w:after="80" w:line="264" w:lineRule="auto"/>
        <w:jc w:val="both"/>
        <w:outlineLvl w:val="2"/>
        <w:rPr>
          <w:rFonts w:ascii="Calibri" w:eastAsia="Times New Roman" w:hAnsi="Calibri" w:cs="Times New Roman"/>
          <w:b/>
          <w:iCs/>
          <w:caps/>
          <w:snapToGrid w:val="0"/>
          <w:sz w:val="24"/>
          <w:szCs w:val="20"/>
          <w:lang w:eastAsia="it-IT"/>
        </w:rPr>
      </w:pPr>
      <w:bookmarkStart w:id="81" w:name="_Toc57467087"/>
      <w:bookmarkStart w:id="82" w:name="_Toc57470535"/>
      <w:bookmarkStart w:id="83" w:name="_Toc126664608"/>
      <w:r w:rsidRPr="00C62E96">
        <w:rPr>
          <w:rFonts w:ascii="Calibri" w:eastAsia="Times New Roman" w:hAnsi="Calibri" w:cs="Times New Roman"/>
          <w:b/>
          <w:iCs/>
          <w:caps/>
          <w:snapToGrid w:val="0"/>
          <w:sz w:val="24"/>
          <w:szCs w:val="20"/>
          <w:lang w:eastAsia="it-IT"/>
        </w:rPr>
        <w:t>Acronimi</w:t>
      </w:r>
      <w:bookmarkEnd w:id="81"/>
      <w:bookmarkEnd w:id="82"/>
      <w:bookmarkEnd w:id="83"/>
    </w:p>
    <w:p w14:paraId="7E7A2BDC" w14:textId="77777777" w:rsidR="00FF66F2" w:rsidRDefault="00FF66F2" w:rsidP="00FF66F2">
      <w:pPr>
        <w:jc w:val="both"/>
      </w:pPr>
      <w:r w:rsidRPr="000455EF">
        <w:rPr>
          <w:b/>
          <w:bCs/>
        </w:rPr>
        <w:t>REACH</w:t>
      </w:r>
      <w:r>
        <w:t xml:space="preserve">: </w:t>
      </w:r>
      <w:proofErr w:type="spellStart"/>
      <w:r w:rsidRPr="00754056">
        <w:t>Registration</w:t>
      </w:r>
      <w:proofErr w:type="spellEnd"/>
      <w:r w:rsidRPr="00754056">
        <w:t xml:space="preserve">, Evaluation and </w:t>
      </w:r>
      <w:proofErr w:type="spellStart"/>
      <w:r w:rsidRPr="00754056">
        <w:t>Authorisation</w:t>
      </w:r>
      <w:proofErr w:type="spellEnd"/>
      <w:r w:rsidRPr="00754056">
        <w:t xml:space="preserve"> of </w:t>
      </w:r>
      <w:proofErr w:type="spellStart"/>
      <w:r w:rsidRPr="00754056">
        <w:t>CHemicals</w:t>
      </w:r>
      <w:proofErr w:type="spellEnd"/>
      <w:r w:rsidRPr="00754056">
        <w:t>) si definisce il Regolamento (CE) n. 1907/2006 concernente la registrazione, la valutazione, l'autorizzazione e la restrizione delle sostanze chimiche</w:t>
      </w:r>
    </w:p>
    <w:p w14:paraId="2FF19A7F" w14:textId="77777777" w:rsidR="00FF66F2" w:rsidRDefault="00FF66F2" w:rsidP="00FF66F2">
      <w:pPr>
        <w:jc w:val="both"/>
      </w:pPr>
      <w:r w:rsidRPr="000455EF">
        <w:rPr>
          <w:b/>
          <w:bCs/>
        </w:rPr>
        <w:t>CLP</w:t>
      </w:r>
      <w:r>
        <w:t xml:space="preserve">: </w:t>
      </w:r>
      <w:proofErr w:type="spellStart"/>
      <w:r w:rsidRPr="000455EF">
        <w:t>Classification</w:t>
      </w:r>
      <w:proofErr w:type="spellEnd"/>
      <w:r w:rsidRPr="000455EF">
        <w:t xml:space="preserve">, </w:t>
      </w:r>
      <w:proofErr w:type="spellStart"/>
      <w:r w:rsidRPr="000455EF">
        <w:t>Labelling</w:t>
      </w:r>
      <w:proofErr w:type="spellEnd"/>
      <w:r w:rsidRPr="000455EF">
        <w:t xml:space="preserve"> and Packaging), ufficialmente regolamento (CE) n. 1272/2008, è un regolamento dell'Unione europea, grazie al quale il sistema di classificazione europeo relativo alla classificazione, etichettatura e imballaggio delle sostanze chimiche</w:t>
      </w:r>
    </w:p>
    <w:p w14:paraId="62C0D27A" w14:textId="6BAC60CA" w:rsidR="00FF66F2" w:rsidRDefault="00FF66F2" w:rsidP="00FF66F2">
      <w:r w:rsidRPr="00175CBC">
        <w:rPr>
          <w:b/>
          <w:bCs/>
        </w:rPr>
        <w:t>ECHA</w:t>
      </w:r>
      <w:r>
        <w:t xml:space="preserve">: </w:t>
      </w:r>
      <w:proofErr w:type="spellStart"/>
      <w:r w:rsidRPr="007B5A2A">
        <w:t>European</w:t>
      </w:r>
      <w:proofErr w:type="spellEnd"/>
      <w:r w:rsidRPr="007B5A2A">
        <w:t xml:space="preserve"> Chemicals Agency</w:t>
      </w:r>
      <w:r>
        <w:t xml:space="preserve"> - </w:t>
      </w:r>
      <w:r w:rsidRPr="00175CBC">
        <w:t>Agenzia europea delle sostanze chimiche</w:t>
      </w:r>
    </w:p>
    <w:p w14:paraId="1A577215" w14:textId="77777777" w:rsidR="00FF66F2" w:rsidRPr="003D1F7D" w:rsidRDefault="00FF66F2" w:rsidP="00FF66F2">
      <w:pPr>
        <w:rPr>
          <w:lang w:val="en-US"/>
        </w:rPr>
      </w:pPr>
      <w:r w:rsidRPr="003D1F7D">
        <w:rPr>
          <w:b/>
          <w:bCs/>
          <w:lang w:val="en-US"/>
        </w:rPr>
        <w:t>ISS</w:t>
      </w:r>
      <w:r w:rsidRPr="003D1F7D">
        <w:rPr>
          <w:lang w:val="en-US"/>
        </w:rPr>
        <w:t xml:space="preserve">: </w:t>
      </w:r>
      <w:proofErr w:type="spellStart"/>
      <w:r w:rsidRPr="003D1F7D">
        <w:rPr>
          <w:lang w:val="en-US"/>
        </w:rPr>
        <w:t>Istituto</w:t>
      </w:r>
      <w:proofErr w:type="spellEnd"/>
      <w:r w:rsidRPr="003D1F7D">
        <w:rPr>
          <w:lang w:val="en-US"/>
        </w:rPr>
        <w:t xml:space="preserve"> Superiore di Sanità</w:t>
      </w:r>
    </w:p>
    <w:p w14:paraId="27C0485A" w14:textId="77777777" w:rsidR="00FF66F2" w:rsidRDefault="00FF66F2" w:rsidP="00FF66F2">
      <w:pPr>
        <w:jc w:val="both"/>
      </w:pPr>
      <w:r w:rsidRPr="003D1F7D">
        <w:rPr>
          <w:b/>
          <w:bCs/>
          <w:lang w:val="en-US"/>
        </w:rPr>
        <w:t>SVHC</w:t>
      </w:r>
      <w:r w:rsidRPr="003D1F7D">
        <w:rPr>
          <w:lang w:val="en-US"/>
        </w:rPr>
        <w:t xml:space="preserve">: Substances of Very High Concern. </w:t>
      </w:r>
      <w:r w:rsidRPr="0025044E">
        <w:t>Le sostanze suscettibili di avere effetti gravi sulla salute umana e sull'ambiente possono essere incluse fra le sostanze estremamente preoccupanti (SVHC). Si tratta soprattutto di sostanze cancerogene, mutagene o tossiche per la riproduzione, nonché di sostanze con caratteristiche persistenti e bioaccumulabili. Fra le altre sostanze con un livello di preoccupazione equivalente vi sono, per esempio, gli interferenti endocrini.</w:t>
      </w:r>
    </w:p>
    <w:p w14:paraId="16A46B6E" w14:textId="77777777" w:rsidR="00FF66F2" w:rsidRDefault="00FF66F2" w:rsidP="00FF66F2">
      <w:pPr>
        <w:jc w:val="both"/>
      </w:pPr>
      <w:proofErr w:type="spellStart"/>
      <w:r w:rsidRPr="0025044E">
        <w:rPr>
          <w:b/>
          <w:bCs/>
        </w:rPr>
        <w:t>POPs</w:t>
      </w:r>
      <w:proofErr w:type="spellEnd"/>
      <w:r>
        <w:rPr>
          <w:b/>
          <w:bCs/>
        </w:rPr>
        <w:t xml:space="preserve">: </w:t>
      </w:r>
      <w:proofErr w:type="spellStart"/>
      <w:r w:rsidRPr="00B47701">
        <w:t>Persistent</w:t>
      </w:r>
      <w:proofErr w:type="spellEnd"/>
      <w:r>
        <w:rPr>
          <w:b/>
          <w:bCs/>
        </w:rPr>
        <w:t xml:space="preserve"> </w:t>
      </w:r>
      <w:proofErr w:type="spellStart"/>
      <w:r w:rsidRPr="00B47701">
        <w:t>Organic</w:t>
      </w:r>
      <w:proofErr w:type="spellEnd"/>
      <w:r w:rsidRPr="00B47701">
        <w:t xml:space="preserve"> </w:t>
      </w:r>
      <w:proofErr w:type="spellStart"/>
      <w:r w:rsidRPr="00B47701">
        <w:t>Pollulant</w:t>
      </w:r>
      <w:proofErr w:type="spellEnd"/>
      <w:r>
        <w:t>.</w:t>
      </w:r>
      <w:r w:rsidRPr="00B47701">
        <w:t xml:space="preserve"> </w:t>
      </w:r>
      <w:r w:rsidRPr="0030461B">
        <w:t>Gli inquinanti organici persistenti (POP) sono sostanze organiche che persistono nell’ambiente, si accumulano negli organismi viventi e rappresentano un rischio per la nostra salute e l’ambiente.</w:t>
      </w:r>
    </w:p>
    <w:p w14:paraId="7EAF28CF" w14:textId="77777777" w:rsidR="001F2B93" w:rsidRDefault="001F2B93"/>
    <w:sectPr w:rsidR="001F2B93" w:rsidSect="00DC17E3">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F7DDE" w14:textId="77777777" w:rsidR="00F61C0D" w:rsidRDefault="00F61C0D" w:rsidP="001F2B93">
      <w:pPr>
        <w:spacing w:after="0" w:line="240" w:lineRule="auto"/>
      </w:pPr>
      <w:r>
        <w:separator/>
      </w:r>
    </w:p>
  </w:endnote>
  <w:endnote w:type="continuationSeparator" w:id="0">
    <w:p w14:paraId="1E314E92" w14:textId="77777777" w:rsidR="00F61C0D" w:rsidRDefault="00F61C0D" w:rsidP="001F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484045"/>
      <w:docPartObj>
        <w:docPartGallery w:val="Page Numbers (Bottom of Page)"/>
        <w:docPartUnique/>
      </w:docPartObj>
    </w:sdtPr>
    <w:sdtContent>
      <w:sdt>
        <w:sdtPr>
          <w:id w:val="1728636285"/>
          <w:docPartObj>
            <w:docPartGallery w:val="Page Numbers (Top of Page)"/>
            <w:docPartUnique/>
          </w:docPartObj>
        </w:sdtPr>
        <w:sdtContent>
          <w:p w14:paraId="6497D8BC" w14:textId="4F00A5B4" w:rsidR="002F3D40" w:rsidRDefault="002F3D40">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F2149B">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F2149B">
              <w:rPr>
                <w:b/>
                <w:bCs/>
                <w:noProof/>
              </w:rPr>
              <w:t>19</w:t>
            </w:r>
            <w:r>
              <w:rPr>
                <w:b/>
                <w:bCs/>
                <w:sz w:val="24"/>
                <w:szCs w:val="24"/>
              </w:rPr>
              <w:fldChar w:fldCharType="end"/>
            </w:r>
          </w:p>
        </w:sdtContent>
      </w:sdt>
    </w:sdtContent>
  </w:sdt>
  <w:p w14:paraId="0C8D85D7" w14:textId="77777777" w:rsidR="002F3D40" w:rsidRDefault="002F3D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E978" w14:textId="77777777" w:rsidR="00F61C0D" w:rsidRDefault="00F61C0D" w:rsidP="001F2B93">
      <w:pPr>
        <w:spacing w:after="0" w:line="240" w:lineRule="auto"/>
      </w:pPr>
      <w:r>
        <w:separator/>
      </w:r>
    </w:p>
  </w:footnote>
  <w:footnote w:type="continuationSeparator" w:id="0">
    <w:p w14:paraId="10BD17E7" w14:textId="77777777" w:rsidR="00F61C0D" w:rsidRDefault="00F61C0D" w:rsidP="001F2B93">
      <w:pPr>
        <w:spacing w:after="0" w:line="240" w:lineRule="auto"/>
      </w:pPr>
      <w:r>
        <w:continuationSeparator/>
      </w:r>
    </w:p>
  </w:footnote>
  <w:footnote w:id="1">
    <w:p w14:paraId="11524178" w14:textId="77777777" w:rsidR="00E10DF9" w:rsidRDefault="00E10DF9" w:rsidP="001F2B93">
      <w:pPr>
        <w:pStyle w:val="Testonotaapidipagina"/>
      </w:pPr>
      <w:r>
        <w:rPr>
          <w:rStyle w:val="Rimandonotaapidipagina"/>
        </w:rPr>
        <w:footnoteRef/>
      </w:r>
      <w:r>
        <w:t xml:space="preserve"> Allegato XIV Autorizzazioni REACH</w:t>
      </w:r>
    </w:p>
  </w:footnote>
  <w:footnote w:id="2">
    <w:p w14:paraId="1BA6457A" w14:textId="77777777" w:rsidR="00E10DF9" w:rsidRDefault="00E10DF9" w:rsidP="001F2B93">
      <w:pPr>
        <w:pStyle w:val="Testonotaapidipagina"/>
      </w:pPr>
      <w:r>
        <w:rPr>
          <w:rStyle w:val="Rimandonotaapidipagina"/>
        </w:rPr>
        <w:footnoteRef/>
      </w:r>
      <w:r>
        <w:t xml:space="preserve"> Allegato XVII Restrizioni REACH</w:t>
      </w:r>
    </w:p>
  </w:footnote>
  <w:footnote w:id="3">
    <w:p w14:paraId="54C42B97" w14:textId="77777777" w:rsidR="00E10DF9" w:rsidRDefault="00E10DF9" w:rsidP="001F2B93">
      <w:pPr>
        <w:pStyle w:val="Testonotaapidipagina"/>
      </w:pPr>
    </w:p>
  </w:footnote>
  <w:footnote w:id="4">
    <w:p w14:paraId="04C92AA2" w14:textId="77777777" w:rsidR="00E10DF9" w:rsidRDefault="00E10DF9" w:rsidP="001F2B93">
      <w:pPr>
        <w:pStyle w:val="Testonotaapidipagina"/>
      </w:pPr>
      <w:r>
        <w:rPr>
          <w:rStyle w:val="Rimandonotaapidipagina"/>
        </w:rPr>
        <w:footnoteRef/>
      </w:r>
      <w:r>
        <w:t xml:space="preserve"> IL Regolamento 878/2020 modifica l’allegato I del regolamento 1021/2019/UE introducendo il PFOA e stabilendo dei limiti nelle sostanze, miscele ed articoli. Il PFOA è anche incluso nell’allegato XVII del REACH.</w:t>
      </w:r>
    </w:p>
  </w:footnote>
  <w:footnote w:id="5">
    <w:p w14:paraId="3F2AB2A2" w14:textId="77777777" w:rsidR="002F3D40" w:rsidRDefault="002F3D40" w:rsidP="002C58CE">
      <w:pPr>
        <w:pStyle w:val="Testonotaapidipagina"/>
      </w:pPr>
      <w:r>
        <w:rPr>
          <w:rStyle w:val="Rimandonotaapidipagina"/>
        </w:rPr>
        <w:footnoteRef/>
      </w:r>
      <w:r>
        <w:t xml:space="preserve"> </w:t>
      </w:r>
      <w:hyperlink r:id="rId1" w:history="1">
        <w:r w:rsidRPr="002F1897">
          <w:rPr>
            <w:rStyle w:val="Collegamentoipertestuale"/>
          </w:rPr>
          <w:t>http://www.amblav.it/download/Sanzioni-CLP-REACH-SDS-DLgs-186-133.pdf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0F5E"/>
    <w:multiLevelType w:val="hybridMultilevel"/>
    <w:tmpl w:val="3A2AD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CD0BA6"/>
    <w:multiLevelType w:val="hybridMultilevel"/>
    <w:tmpl w:val="FE3CE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264699"/>
    <w:multiLevelType w:val="hybridMultilevel"/>
    <w:tmpl w:val="26FA8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B501B7"/>
    <w:multiLevelType w:val="hybridMultilevel"/>
    <w:tmpl w:val="CB2AB886"/>
    <w:lvl w:ilvl="0" w:tplc="E720609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57142B"/>
    <w:multiLevelType w:val="hybridMultilevel"/>
    <w:tmpl w:val="B73AD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EE5987"/>
    <w:multiLevelType w:val="hybridMultilevel"/>
    <w:tmpl w:val="9D6CC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B1064E"/>
    <w:multiLevelType w:val="hybridMultilevel"/>
    <w:tmpl w:val="3D38E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174973"/>
    <w:multiLevelType w:val="hybridMultilevel"/>
    <w:tmpl w:val="211ED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850CEC"/>
    <w:multiLevelType w:val="hybridMultilevel"/>
    <w:tmpl w:val="1220A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36CE0"/>
    <w:multiLevelType w:val="hybridMultilevel"/>
    <w:tmpl w:val="9EC43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812020"/>
    <w:multiLevelType w:val="hybridMultilevel"/>
    <w:tmpl w:val="3DA8D2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9B4169"/>
    <w:multiLevelType w:val="hybridMultilevel"/>
    <w:tmpl w:val="1EFC1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62452A"/>
    <w:multiLevelType w:val="hybridMultilevel"/>
    <w:tmpl w:val="DCAA1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677A76"/>
    <w:multiLevelType w:val="hybridMultilevel"/>
    <w:tmpl w:val="D0000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458E9"/>
    <w:multiLevelType w:val="hybridMultilevel"/>
    <w:tmpl w:val="5824E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CC7102"/>
    <w:multiLevelType w:val="hybridMultilevel"/>
    <w:tmpl w:val="3A146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5979F7"/>
    <w:multiLevelType w:val="hybridMultilevel"/>
    <w:tmpl w:val="B894B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E33408"/>
    <w:multiLevelType w:val="hybridMultilevel"/>
    <w:tmpl w:val="DDD00BDC"/>
    <w:lvl w:ilvl="0" w:tplc="A4FA84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80170E"/>
    <w:multiLevelType w:val="hybridMultilevel"/>
    <w:tmpl w:val="B11E5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511021"/>
    <w:multiLevelType w:val="hybridMultilevel"/>
    <w:tmpl w:val="D236F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557D35"/>
    <w:multiLevelType w:val="hybridMultilevel"/>
    <w:tmpl w:val="763C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B2324F"/>
    <w:multiLevelType w:val="hybridMultilevel"/>
    <w:tmpl w:val="91C47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3695F"/>
    <w:multiLevelType w:val="hybridMultilevel"/>
    <w:tmpl w:val="73643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204D43"/>
    <w:multiLevelType w:val="hybridMultilevel"/>
    <w:tmpl w:val="94423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3E1CC0"/>
    <w:multiLevelType w:val="hybridMultilevel"/>
    <w:tmpl w:val="376C7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024201"/>
    <w:multiLevelType w:val="hybridMultilevel"/>
    <w:tmpl w:val="A7C01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8696076">
    <w:abstractNumId w:val="17"/>
  </w:num>
  <w:num w:numId="2" w16cid:durableId="635451745">
    <w:abstractNumId w:val="2"/>
  </w:num>
  <w:num w:numId="3" w16cid:durableId="794760917">
    <w:abstractNumId w:val="23"/>
  </w:num>
  <w:num w:numId="4" w16cid:durableId="1770546921">
    <w:abstractNumId w:val="7"/>
  </w:num>
  <w:num w:numId="5" w16cid:durableId="794713799">
    <w:abstractNumId w:val="21"/>
  </w:num>
  <w:num w:numId="6" w16cid:durableId="1445617170">
    <w:abstractNumId w:val="18"/>
  </w:num>
  <w:num w:numId="7" w16cid:durableId="1827088093">
    <w:abstractNumId w:val="6"/>
  </w:num>
  <w:num w:numId="8" w16cid:durableId="339548022">
    <w:abstractNumId w:val="1"/>
  </w:num>
  <w:num w:numId="9" w16cid:durableId="2045399937">
    <w:abstractNumId w:val="3"/>
  </w:num>
  <w:num w:numId="10" w16cid:durableId="883759392">
    <w:abstractNumId w:val="4"/>
  </w:num>
  <w:num w:numId="11" w16cid:durableId="195166748">
    <w:abstractNumId w:val="10"/>
  </w:num>
  <w:num w:numId="12" w16cid:durableId="1596285758">
    <w:abstractNumId w:val="11"/>
  </w:num>
  <w:num w:numId="13" w16cid:durableId="2051761111">
    <w:abstractNumId w:val="22"/>
  </w:num>
  <w:num w:numId="14" w16cid:durableId="1888031825">
    <w:abstractNumId w:val="20"/>
  </w:num>
  <w:num w:numId="15" w16cid:durableId="467092283">
    <w:abstractNumId w:val="25"/>
  </w:num>
  <w:num w:numId="16" w16cid:durableId="2042049363">
    <w:abstractNumId w:val="14"/>
  </w:num>
  <w:num w:numId="17" w16cid:durableId="666784292">
    <w:abstractNumId w:val="8"/>
  </w:num>
  <w:num w:numId="18" w16cid:durableId="1131898485">
    <w:abstractNumId w:val="13"/>
  </w:num>
  <w:num w:numId="19" w16cid:durableId="93063974">
    <w:abstractNumId w:val="19"/>
  </w:num>
  <w:num w:numId="20" w16cid:durableId="108938677">
    <w:abstractNumId w:val="0"/>
  </w:num>
  <w:num w:numId="21" w16cid:durableId="1391415160">
    <w:abstractNumId w:val="5"/>
  </w:num>
  <w:num w:numId="22" w16cid:durableId="1379085057">
    <w:abstractNumId w:val="9"/>
  </w:num>
  <w:num w:numId="23" w16cid:durableId="306981536">
    <w:abstractNumId w:val="16"/>
  </w:num>
  <w:num w:numId="24" w16cid:durableId="1413813934">
    <w:abstractNumId w:val="12"/>
  </w:num>
  <w:num w:numId="25" w16cid:durableId="1549494839">
    <w:abstractNumId w:val="15"/>
  </w:num>
  <w:num w:numId="26" w16cid:durableId="1671328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D9"/>
    <w:rsid w:val="00020907"/>
    <w:rsid w:val="00024092"/>
    <w:rsid w:val="00032183"/>
    <w:rsid w:val="0004589B"/>
    <w:rsid w:val="000A3A66"/>
    <w:rsid w:val="000B0523"/>
    <w:rsid w:val="000C75E7"/>
    <w:rsid w:val="000E0F25"/>
    <w:rsid w:val="001003E1"/>
    <w:rsid w:val="001040BC"/>
    <w:rsid w:val="0011524C"/>
    <w:rsid w:val="0012433F"/>
    <w:rsid w:val="00131D91"/>
    <w:rsid w:val="00141ECF"/>
    <w:rsid w:val="00177158"/>
    <w:rsid w:val="001C20E0"/>
    <w:rsid w:val="001D654C"/>
    <w:rsid w:val="001D6D07"/>
    <w:rsid w:val="001F134A"/>
    <w:rsid w:val="001F2B93"/>
    <w:rsid w:val="001F7C88"/>
    <w:rsid w:val="00204C41"/>
    <w:rsid w:val="002149A9"/>
    <w:rsid w:val="002201E6"/>
    <w:rsid w:val="002273DD"/>
    <w:rsid w:val="00254980"/>
    <w:rsid w:val="002851FE"/>
    <w:rsid w:val="002C100A"/>
    <w:rsid w:val="002C46E7"/>
    <w:rsid w:val="002C58CE"/>
    <w:rsid w:val="002D49B7"/>
    <w:rsid w:val="002E3F43"/>
    <w:rsid w:val="002F0F1A"/>
    <w:rsid w:val="002F3D40"/>
    <w:rsid w:val="00311321"/>
    <w:rsid w:val="00321B5D"/>
    <w:rsid w:val="00351572"/>
    <w:rsid w:val="003635E9"/>
    <w:rsid w:val="003865FE"/>
    <w:rsid w:val="003A02DB"/>
    <w:rsid w:val="003C5954"/>
    <w:rsid w:val="003D11FF"/>
    <w:rsid w:val="003D1F7D"/>
    <w:rsid w:val="003D794D"/>
    <w:rsid w:val="003E0A25"/>
    <w:rsid w:val="00414B0C"/>
    <w:rsid w:val="00427691"/>
    <w:rsid w:val="00472269"/>
    <w:rsid w:val="00476C37"/>
    <w:rsid w:val="004A27E4"/>
    <w:rsid w:val="004B70AD"/>
    <w:rsid w:val="004B7B53"/>
    <w:rsid w:val="004C082F"/>
    <w:rsid w:val="004E229A"/>
    <w:rsid w:val="00515ACC"/>
    <w:rsid w:val="00553290"/>
    <w:rsid w:val="00591AF5"/>
    <w:rsid w:val="005A3FE2"/>
    <w:rsid w:val="00600266"/>
    <w:rsid w:val="00611B4C"/>
    <w:rsid w:val="00627260"/>
    <w:rsid w:val="00633625"/>
    <w:rsid w:val="006436F6"/>
    <w:rsid w:val="00664149"/>
    <w:rsid w:val="0067716E"/>
    <w:rsid w:val="00680E91"/>
    <w:rsid w:val="00682DD2"/>
    <w:rsid w:val="006913B7"/>
    <w:rsid w:val="006C22B3"/>
    <w:rsid w:val="006C4A38"/>
    <w:rsid w:val="006E72A5"/>
    <w:rsid w:val="006E7EF3"/>
    <w:rsid w:val="0077688D"/>
    <w:rsid w:val="00783537"/>
    <w:rsid w:val="00786281"/>
    <w:rsid w:val="007B081C"/>
    <w:rsid w:val="007B3B09"/>
    <w:rsid w:val="007E16B4"/>
    <w:rsid w:val="007E3ED1"/>
    <w:rsid w:val="00807C4B"/>
    <w:rsid w:val="00807F8A"/>
    <w:rsid w:val="00816F08"/>
    <w:rsid w:val="00824D6C"/>
    <w:rsid w:val="00825376"/>
    <w:rsid w:val="00837699"/>
    <w:rsid w:val="008573C3"/>
    <w:rsid w:val="0087215C"/>
    <w:rsid w:val="0088197E"/>
    <w:rsid w:val="00892CD7"/>
    <w:rsid w:val="008C2470"/>
    <w:rsid w:val="008D2F5C"/>
    <w:rsid w:val="008E31BC"/>
    <w:rsid w:val="008E5506"/>
    <w:rsid w:val="009034B3"/>
    <w:rsid w:val="00924D70"/>
    <w:rsid w:val="00974971"/>
    <w:rsid w:val="00980203"/>
    <w:rsid w:val="009E75D9"/>
    <w:rsid w:val="00A25AB5"/>
    <w:rsid w:val="00A25AF3"/>
    <w:rsid w:val="00A87095"/>
    <w:rsid w:val="00A934D2"/>
    <w:rsid w:val="00A94B13"/>
    <w:rsid w:val="00AA1F1F"/>
    <w:rsid w:val="00AB13CE"/>
    <w:rsid w:val="00AB7418"/>
    <w:rsid w:val="00AD07C9"/>
    <w:rsid w:val="00AD3004"/>
    <w:rsid w:val="00AF7009"/>
    <w:rsid w:val="00B2479F"/>
    <w:rsid w:val="00B349F4"/>
    <w:rsid w:val="00B62745"/>
    <w:rsid w:val="00B81524"/>
    <w:rsid w:val="00B81C2F"/>
    <w:rsid w:val="00B952B4"/>
    <w:rsid w:val="00BA4A27"/>
    <w:rsid w:val="00BC2731"/>
    <w:rsid w:val="00BD1AD3"/>
    <w:rsid w:val="00BD3E8C"/>
    <w:rsid w:val="00BD3EE9"/>
    <w:rsid w:val="00C20F66"/>
    <w:rsid w:val="00C22B1F"/>
    <w:rsid w:val="00C42CD1"/>
    <w:rsid w:val="00C61F44"/>
    <w:rsid w:val="00C62E96"/>
    <w:rsid w:val="00C73EE3"/>
    <w:rsid w:val="00CE0F47"/>
    <w:rsid w:val="00CE7541"/>
    <w:rsid w:val="00CF0E1A"/>
    <w:rsid w:val="00CF411D"/>
    <w:rsid w:val="00D44F93"/>
    <w:rsid w:val="00D67C64"/>
    <w:rsid w:val="00D71B09"/>
    <w:rsid w:val="00D91CE0"/>
    <w:rsid w:val="00DB61F0"/>
    <w:rsid w:val="00DC17E3"/>
    <w:rsid w:val="00DD7FA3"/>
    <w:rsid w:val="00DF19F6"/>
    <w:rsid w:val="00E06B3A"/>
    <w:rsid w:val="00E10DF9"/>
    <w:rsid w:val="00E165E5"/>
    <w:rsid w:val="00E25F9F"/>
    <w:rsid w:val="00E31FDD"/>
    <w:rsid w:val="00E618F2"/>
    <w:rsid w:val="00E64791"/>
    <w:rsid w:val="00E81C02"/>
    <w:rsid w:val="00EC263A"/>
    <w:rsid w:val="00ED1686"/>
    <w:rsid w:val="00EE4B69"/>
    <w:rsid w:val="00F130E8"/>
    <w:rsid w:val="00F1611F"/>
    <w:rsid w:val="00F2149B"/>
    <w:rsid w:val="00F61C0D"/>
    <w:rsid w:val="00FD4042"/>
    <w:rsid w:val="00FF184D"/>
    <w:rsid w:val="00FF66F2"/>
    <w:rsid w:val="014E7650"/>
    <w:rsid w:val="04820202"/>
    <w:rsid w:val="0549A094"/>
    <w:rsid w:val="065B3EA2"/>
    <w:rsid w:val="0795E9B7"/>
    <w:rsid w:val="085B2EC0"/>
    <w:rsid w:val="09E5ACF1"/>
    <w:rsid w:val="0A6B4251"/>
    <w:rsid w:val="0B905302"/>
    <w:rsid w:val="0D2177EE"/>
    <w:rsid w:val="0EB9C7EA"/>
    <w:rsid w:val="0F6142DB"/>
    <w:rsid w:val="104D1848"/>
    <w:rsid w:val="11F0D62F"/>
    <w:rsid w:val="12D26DC2"/>
    <w:rsid w:val="1434B3FE"/>
    <w:rsid w:val="1539B49E"/>
    <w:rsid w:val="15DF979C"/>
    <w:rsid w:val="16373B33"/>
    <w:rsid w:val="1899EA36"/>
    <w:rsid w:val="1B97B875"/>
    <w:rsid w:val="1DEB6977"/>
    <w:rsid w:val="1ECF5937"/>
    <w:rsid w:val="1F3FC179"/>
    <w:rsid w:val="1FCA003C"/>
    <w:rsid w:val="230589E4"/>
    <w:rsid w:val="238339DF"/>
    <w:rsid w:val="23B3D65B"/>
    <w:rsid w:val="26BA230D"/>
    <w:rsid w:val="26DE9901"/>
    <w:rsid w:val="2DCF0555"/>
    <w:rsid w:val="2ECC54A4"/>
    <w:rsid w:val="2F2FE135"/>
    <w:rsid w:val="2F5F33AC"/>
    <w:rsid w:val="30F7BE26"/>
    <w:rsid w:val="319E1C60"/>
    <w:rsid w:val="3323E8A4"/>
    <w:rsid w:val="333467D3"/>
    <w:rsid w:val="33A7B34D"/>
    <w:rsid w:val="342E92FD"/>
    <w:rsid w:val="36609678"/>
    <w:rsid w:val="3A344B13"/>
    <w:rsid w:val="3E707979"/>
    <w:rsid w:val="3E7A2B28"/>
    <w:rsid w:val="3FF35B81"/>
    <w:rsid w:val="40279E38"/>
    <w:rsid w:val="42A4BA3C"/>
    <w:rsid w:val="43763B68"/>
    <w:rsid w:val="43A3BC48"/>
    <w:rsid w:val="455FC6BB"/>
    <w:rsid w:val="4659F1E5"/>
    <w:rsid w:val="47C0E196"/>
    <w:rsid w:val="49102782"/>
    <w:rsid w:val="4D048EFE"/>
    <w:rsid w:val="53059AD5"/>
    <w:rsid w:val="532D0E89"/>
    <w:rsid w:val="54068809"/>
    <w:rsid w:val="55554EB9"/>
    <w:rsid w:val="58B06CE3"/>
    <w:rsid w:val="5968DE3D"/>
    <w:rsid w:val="59D4C926"/>
    <w:rsid w:val="5DCCA697"/>
    <w:rsid w:val="5F60D291"/>
    <w:rsid w:val="60AF2202"/>
    <w:rsid w:val="60CBE2B4"/>
    <w:rsid w:val="617AC322"/>
    <w:rsid w:val="6267B315"/>
    <w:rsid w:val="62C30FDA"/>
    <w:rsid w:val="62EF7895"/>
    <w:rsid w:val="63D51FCD"/>
    <w:rsid w:val="64669480"/>
    <w:rsid w:val="6696FCD6"/>
    <w:rsid w:val="68D6F499"/>
    <w:rsid w:val="69192901"/>
    <w:rsid w:val="6AD23F6C"/>
    <w:rsid w:val="6BF2E77C"/>
    <w:rsid w:val="6C0E955B"/>
    <w:rsid w:val="6C3B4BB8"/>
    <w:rsid w:val="6D5FDC96"/>
    <w:rsid w:val="6DE18300"/>
    <w:rsid w:val="6E42C5F3"/>
    <w:rsid w:val="6E72185E"/>
    <w:rsid w:val="6E94BE30"/>
    <w:rsid w:val="709A4455"/>
    <w:rsid w:val="718956DC"/>
    <w:rsid w:val="727DD6DF"/>
    <w:rsid w:val="7303D346"/>
    <w:rsid w:val="787D9C3C"/>
    <w:rsid w:val="78ED1863"/>
    <w:rsid w:val="78F74BF6"/>
    <w:rsid w:val="7B8F2BD5"/>
    <w:rsid w:val="7F64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C90C"/>
  <w15:chartTrackingRefBased/>
  <w15:docId w15:val="{558FABD1-D942-4AAA-86D2-3FC17FAC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F1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F2B9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F2B93"/>
    <w:rPr>
      <w:sz w:val="20"/>
      <w:szCs w:val="20"/>
    </w:rPr>
  </w:style>
  <w:style w:type="paragraph" w:styleId="NormaleWeb">
    <w:name w:val="Normal (Web)"/>
    <w:basedOn w:val="Normale"/>
    <w:uiPriority w:val="99"/>
    <w:semiHidden/>
    <w:unhideWhenUsed/>
    <w:rsid w:val="001F2B93"/>
    <w:rPr>
      <w:rFonts w:ascii="Times New Roman" w:hAnsi="Times New Roman" w:cs="Times New Roman"/>
      <w:sz w:val="24"/>
      <w:szCs w:val="24"/>
    </w:rPr>
  </w:style>
  <w:style w:type="character" w:styleId="Collegamentoipertestuale">
    <w:name w:val="Hyperlink"/>
    <w:uiPriority w:val="99"/>
    <w:rsid w:val="001F2B93"/>
    <w:rPr>
      <w:color w:val="0000FF"/>
      <w:u w:val="single"/>
    </w:rPr>
  </w:style>
  <w:style w:type="character" w:styleId="Rimandonotaapidipagina">
    <w:name w:val="footnote reference"/>
    <w:basedOn w:val="Carpredefinitoparagrafo"/>
    <w:semiHidden/>
    <w:unhideWhenUsed/>
    <w:rsid w:val="001F2B93"/>
    <w:rPr>
      <w:vertAlign w:val="superscript"/>
    </w:rPr>
  </w:style>
  <w:style w:type="table" w:customStyle="1" w:styleId="Tabellagriglia4-colore31">
    <w:name w:val="Tabella griglia 4 - colore 31"/>
    <w:basedOn w:val="Tabellanormale"/>
    <w:next w:val="Tabellagriglia4-colore3"/>
    <w:uiPriority w:val="49"/>
    <w:rsid w:val="001F2B93"/>
    <w:pPr>
      <w:spacing w:after="0" w:line="240" w:lineRule="auto"/>
    </w:pPr>
    <w:rPr>
      <w:rFonts w:ascii="Times New Roman" w:eastAsia="Times New Roman" w:hAnsi="Times New Roman" w:cs="Times New Roman"/>
      <w:sz w:val="20"/>
      <w:szCs w:val="20"/>
      <w:lang w:eastAsia="zh-TW"/>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gliatabella1">
    <w:name w:val="Griglia tabella1"/>
    <w:basedOn w:val="Tabellanormale"/>
    <w:next w:val="Grigliatabella"/>
    <w:uiPriority w:val="39"/>
    <w:rsid w:val="001F2B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1F2B93"/>
    <w:rPr>
      <w:rFonts w:ascii="Segoe UI" w:hAnsi="Segoe UI" w:cs="Segoe UI" w:hint="default"/>
      <w:sz w:val="18"/>
      <w:szCs w:val="18"/>
    </w:rPr>
  </w:style>
  <w:style w:type="table" w:styleId="Tabellagriglia4-colore3">
    <w:name w:val="Grid Table 4 Accent 3"/>
    <w:basedOn w:val="Tabellanormale"/>
    <w:uiPriority w:val="49"/>
    <w:rsid w:val="001F2B9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gliatabella">
    <w:name w:val="Table Grid"/>
    <w:basedOn w:val="Tabellanormale"/>
    <w:uiPriority w:val="39"/>
    <w:rsid w:val="001F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F2B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2B93"/>
  </w:style>
  <w:style w:type="paragraph" w:styleId="Pidipagina">
    <w:name w:val="footer"/>
    <w:basedOn w:val="Normale"/>
    <w:link w:val="PidipaginaCarattere"/>
    <w:uiPriority w:val="99"/>
    <w:unhideWhenUsed/>
    <w:rsid w:val="001F2B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2B93"/>
  </w:style>
  <w:style w:type="character" w:customStyle="1" w:styleId="Titolo1Carattere">
    <w:name w:val="Titolo 1 Carattere"/>
    <w:basedOn w:val="Carpredefinitoparagrafo"/>
    <w:link w:val="Titolo1"/>
    <w:uiPriority w:val="9"/>
    <w:rsid w:val="001F134A"/>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1F134A"/>
    <w:pPr>
      <w:outlineLvl w:val="9"/>
    </w:pPr>
    <w:rPr>
      <w:lang w:eastAsia="it-IT"/>
    </w:rPr>
  </w:style>
  <w:style w:type="paragraph" w:styleId="Sommario3">
    <w:name w:val="toc 3"/>
    <w:basedOn w:val="Normale"/>
    <w:next w:val="Normale"/>
    <w:autoRedefine/>
    <w:uiPriority w:val="39"/>
    <w:unhideWhenUsed/>
    <w:rsid w:val="00427691"/>
    <w:pPr>
      <w:tabs>
        <w:tab w:val="right" w:leader="dot" w:pos="9628"/>
      </w:tabs>
      <w:spacing w:after="100"/>
      <w:ind w:left="440"/>
    </w:pPr>
  </w:style>
  <w:style w:type="paragraph" w:styleId="Paragrafoelenco">
    <w:name w:val="List Paragraph"/>
    <w:basedOn w:val="Normale"/>
    <w:uiPriority w:val="34"/>
    <w:qFormat/>
    <w:rsid w:val="00CE7541"/>
    <w:pPr>
      <w:ind w:left="720"/>
      <w:contextualSpacing/>
    </w:pPr>
  </w:style>
  <w:style w:type="character" w:customStyle="1" w:styleId="Menzionenonrisolta1">
    <w:name w:val="Menzione non risolta1"/>
    <w:basedOn w:val="Carpredefinitoparagrafo"/>
    <w:uiPriority w:val="99"/>
    <w:semiHidden/>
    <w:unhideWhenUsed/>
    <w:rsid w:val="002D49B7"/>
    <w:rPr>
      <w:color w:val="605E5C"/>
      <w:shd w:val="clear" w:color="auto" w:fill="E1DFDD"/>
    </w:rPr>
  </w:style>
  <w:style w:type="paragraph" w:styleId="Testofumetto">
    <w:name w:val="Balloon Text"/>
    <w:basedOn w:val="Normale"/>
    <w:link w:val="TestofumettoCarattere"/>
    <w:uiPriority w:val="99"/>
    <w:semiHidden/>
    <w:unhideWhenUsed/>
    <w:rsid w:val="00E81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C02"/>
    <w:rPr>
      <w:rFonts w:ascii="Segoe UI" w:hAnsi="Segoe UI" w:cs="Segoe UI"/>
      <w:sz w:val="18"/>
      <w:szCs w:val="1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it/substances-restricted-under-reach" TargetMode="External"/><Relationship Id="rId18" Type="http://schemas.openxmlformats.org/officeDocument/2006/relationships/hyperlink" Target="https://poisoncentres.echa.europa.eu/it/echa-submission-por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ha.europa.eu/it/authorisation-list" TargetMode="External"/><Relationship Id="rId17" Type="http://schemas.openxmlformats.org/officeDocument/2006/relationships/hyperlink" Target="https://preparatipericolosi.iss.it/" TargetMode="External"/><Relationship Id="rId2" Type="http://schemas.openxmlformats.org/officeDocument/2006/relationships/customXml" Target="../customXml/item2.xml"/><Relationship Id="rId16" Type="http://schemas.openxmlformats.org/officeDocument/2006/relationships/hyperlink" Target="https://echa.europa.eu/it/support/dossier-submission-tools/reach-it/notification-to-the-cl-inventory" TargetMode="External"/><Relationship Id="rId20" Type="http://schemas.openxmlformats.org/officeDocument/2006/relationships/hyperlink" Target="https://echa.europa.eu/it/sc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it/guidance-documents/guidance-on-information-requirements-and-chemical-safety-assessment" TargetMode="External"/><Relationship Id="rId5" Type="http://schemas.openxmlformats.org/officeDocument/2006/relationships/numbering" Target="numbering.xml"/><Relationship Id="rId15" Type="http://schemas.openxmlformats.org/officeDocument/2006/relationships/hyperlink" Target="https://echa.europa.eu/it/information-on-chemicals/cl-inventory-databa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isoncentres.echa.europa.eu/it/ufi-gener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it/regulations/reach/candidate-list-substances-in-articles/notification-of-substances-in-articl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mblav.it/download/Sanzioni-CLP-REACH-SDS-DLgs-186-13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63f5e9-8e41-4433-b3bf-2136231ab49c">
      <Terms xmlns="http://schemas.microsoft.com/office/infopath/2007/PartnerControls"/>
    </lcf76f155ced4ddcb4097134ff3c332f>
    <TaxCatchAll xmlns="9149d354-5072-47eb-965f-10779c551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09950D2608EB74290417657EBFB1BAF" ma:contentTypeVersion="14" ma:contentTypeDescription="Creare un nuovo documento." ma:contentTypeScope="" ma:versionID="86724aa2216d2b008a2ac69395fe8371">
  <xsd:schema xmlns:xsd="http://www.w3.org/2001/XMLSchema" xmlns:xs="http://www.w3.org/2001/XMLSchema" xmlns:p="http://schemas.microsoft.com/office/2006/metadata/properties" xmlns:ns2="1e63f5e9-8e41-4433-b3bf-2136231ab49c" xmlns:ns3="9149d354-5072-47eb-965f-10779c551ad5" targetNamespace="http://schemas.microsoft.com/office/2006/metadata/properties" ma:root="true" ma:fieldsID="733b3845eb8f5f22cea43084fc6c0234" ns2:_="" ns3:_="">
    <xsd:import namespace="1e63f5e9-8e41-4433-b3bf-2136231ab49c"/>
    <xsd:import namespace="9149d354-5072-47eb-965f-10779c551a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3f5e9-8e41-4433-b3bf-2136231ab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9d354-5072-47eb-965f-10779c551a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93d43c-f504-411d-bc9f-2d0b970c6922}" ma:internalName="TaxCatchAll" ma:showField="CatchAllData" ma:web="9149d354-5072-47eb-965f-10779c551a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0EEAE-2A91-423C-92D5-B6B2A8C33B98}">
  <ds:schemaRefs>
    <ds:schemaRef ds:uri="http://schemas.microsoft.com/office/2006/metadata/properties"/>
    <ds:schemaRef ds:uri="http://schemas.microsoft.com/office/infopath/2007/PartnerControls"/>
    <ds:schemaRef ds:uri="1e63f5e9-8e41-4433-b3bf-2136231ab49c"/>
    <ds:schemaRef ds:uri="9149d354-5072-47eb-965f-10779c551ad5"/>
  </ds:schemaRefs>
</ds:datastoreItem>
</file>

<file path=customXml/itemProps2.xml><?xml version="1.0" encoding="utf-8"?>
<ds:datastoreItem xmlns:ds="http://schemas.openxmlformats.org/officeDocument/2006/customXml" ds:itemID="{900FF698-8B54-4D2A-A378-BB817EF4BDB4}">
  <ds:schemaRefs>
    <ds:schemaRef ds:uri="http://schemas.microsoft.com/sharepoint/v3/contenttype/forms"/>
  </ds:schemaRefs>
</ds:datastoreItem>
</file>

<file path=customXml/itemProps3.xml><?xml version="1.0" encoding="utf-8"?>
<ds:datastoreItem xmlns:ds="http://schemas.openxmlformats.org/officeDocument/2006/customXml" ds:itemID="{F923B2C9-9B0A-4179-9ED2-BC77E0D9A412}">
  <ds:schemaRefs>
    <ds:schemaRef ds:uri="http://schemas.openxmlformats.org/officeDocument/2006/bibliography"/>
  </ds:schemaRefs>
</ds:datastoreItem>
</file>

<file path=customXml/itemProps4.xml><?xml version="1.0" encoding="utf-8"?>
<ds:datastoreItem xmlns:ds="http://schemas.openxmlformats.org/officeDocument/2006/customXml" ds:itemID="{2E1550AB-66D1-406D-8A1B-1ED8A2DF73F8}"/>
</file>

<file path=docProps/app.xml><?xml version="1.0" encoding="utf-8"?>
<Properties xmlns="http://schemas.openxmlformats.org/officeDocument/2006/extended-properties" xmlns:vt="http://schemas.openxmlformats.org/officeDocument/2006/docPropsVTypes">
  <Template>Normal.dotm</Template>
  <TotalTime>2</TotalTime>
  <Pages>20</Pages>
  <Words>8481</Words>
  <Characters>48345</Characters>
  <Application>Microsoft Office Word</Application>
  <DocSecurity>0</DocSecurity>
  <Lines>402</Lines>
  <Paragraphs>113</Paragraphs>
  <ScaleCrop>false</ScaleCrop>
  <Company/>
  <LinksUpToDate>false</LinksUpToDate>
  <CharactersWithSpaces>56713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MARCHESINI DOMENICO</dc:creator>
  <cp:keywords/>
  <dc:description/>
  <cp:lastModifiedBy>Roberto Esposito</cp:lastModifiedBy>
  <cp:revision>2</cp:revision>
  <cp:lastPrinted>2020-12-09T12:18:00Z</cp:lastPrinted>
  <dcterms:created xsi:type="dcterms:W3CDTF">2025-01-14T09:38:00Z</dcterms:created>
  <dcterms:modified xsi:type="dcterms:W3CDTF">2025-01-14T09:38:00Z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0x010100809950D2608EB74290417657EBFB1BAF</vt:lpwstr>
  </property>
  <property fmtid="{D5CDD505-2E9C-101B-9397-08002B2CF9AE}" pid="3" name="MediaServiceImageTags">
    <vt:lpwstr/>
  </property>
</Properties>
</file>